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684C81" w14:textId="77777777" w:rsidR="001D70AE" w:rsidRDefault="001D70AE" w:rsidP="001D70AE">
      <w:pPr>
        <w:autoSpaceDE w:val="0"/>
        <w:autoSpaceDN w:val="0"/>
        <w:adjustRightInd w:val="0"/>
        <w:spacing w:after="0" w:line="240" w:lineRule="auto"/>
        <w:rPr>
          <w:rFonts w:ascii="Arial" w:hAnsi="Arial" w:cs="Arial"/>
          <w:b/>
          <w:color w:val="000000"/>
          <w:sz w:val="24"/>
          <w:szCs w:val="24"/>
        </w:rPr>
      </w:pPr>
    </w:p>
    <w:p w14:paraId="6F4BD604" w14:textId="77777777" w:rsidR="001D70AE" w:rsidRPr="000655B7" w:rsidRDefault="001D70AE" w:rsidP="001D70AE">
      <w:pPr>
        <w:autoSpaceDE w:val="0"/>
        <w:autoSpaceDN w:val="0"/>
        <w:adjustRightInd w:val="0"/>
        <w:spacing w:after="0" w:line="240" w:lineRule="auto"/>
        <w:rPr>
          <w:rFonts w:ascii="Arial" w:hAnsi="Arial" w:cs="Arial"/>
          <w:b/>
          <w:color w:val="000000"/>
          <w:sz w:val="24"/>
          <w:szCs w:val="24"/>
        </w:rPr>
      </w:pPr>
    </w:p>
    <w:p w14:paraId="4B5E3989" w14:textId="77777777" w:rsidR="001D70AE" w:rsidRPr="000655B7" w:rsidRDefault="001D70AE" w:rsidP="001D70AE">
      <w:pPr>
        <w:autoSpaceDE w:val="0"/>
        <w:autoSpaceDN w:val="0"/>
        <w:adjustRightInd w:val="0"/>
        <w:spacing w:after="0" w:line="240" w:lineRule="auto"/>
        <w:rPr>
          <w:rFonts w:ascii="Arial" w:hAnsi="Arial" w:cs="Arial"/>
          <w:b/>
          <w:color w:val="000000"/>
          <w:sz w:val="28"/>
          <w:szCs w:val="28"/>
        </w:rPr>
      </w:pPr>
      <w:r w:rsidRPr="000655B7">
        <w:rPr>
          <w:rFonts w:ascii="Arial" w:hAnsi="Arial" w:cs="Arial"/>
          <w:b/>
          <w:color w:val="000000"/>
          <w:sz w:val="28"/>
          <w:szCs w:val="28"/>
        </w:rPr>
        <w:t>PRESSEINFORMATION</w:t>
      </w:r>
    </w:p>
    <w:p w14:paraId="78D20DC4" w14:textId="77777777" w:rsidR="001D70AE" w:rsidRDefault="001D70AE" w:rsidP="001D70AE">
      <w:pPr>
        <w:autoSpaceDE w:val="0"/>
        <w:autoSpaceDN w:val="0"/>
        <w:adjustRightInd w:val="0"/>
        <w:spacing w:after="0" w:line="240" w:lineRule="auto"/>
        <w:rPr>
          <w:rFonts w:ascii="Arial" w:hAnsi="Arial" w:cs="Arial"/>
          <w:color w:val="000000"/>
        </w:rPr>
      </w:pPr>
    </w:p>
    <w:p w14:paraId="2D66FF9B" w14:textId="77777777" w:rsidR="001D70AE" w:rsidRDefault="001D70AE" w:rsidP="001D70AE">
      <w:pPr>
        <w:autoSpaceDE w:val="0"/>
        <w:autoSpaceDN w:val="0"/>
        <w:adjustRightInd w:val="0"/>
        <w:spacing w:after="0" w:line="240" w:lineRule="auto"/>
        <w:rPr>
          <w:rFonts w:ascii="Arial" w:hAnsi="Arial" w:cs="Arial"/>
          <w:color w:val="000000"/>
        </w:rPr>
      </w:pPr>
      <w:r>
        <w:rPr>
          <w:rFonts w:ascii="Arial" w:hAnsi="Arial" w:cs="Arial"/>
          <w:color w:val="000000"/>
        </w:rPr>
        <w:t>Berlin</w:t>
      </w:r>
      <w:r w:rsidRPr="000655B7">
        <w:rPr>
          <w:rFonts w:ascii="Arial" w:hAnsi="Arial" w:cs="Arial"/>
          <w:color w:val="000000"/>
        </w:rPr>
        <w:t xml:space="preserve">, </w:t>
      </w:r>
      <w:r>
        <w:rPr>
          <w:rFonts w:ascii="Arial" w:hAnsi="Arial" w:cs="Arial"/>
        </w:rPr>
        <w:t>19</w:t>
      </w:r>
      <w:r w:rsidRPr="003A2746">
        <w:rPr>
          <w:rFonts w:ascii="Arial" w:hAnsi="Arial" w:cs="Arial"/>
        </w:rPr>
        <w:t xml:space="preserve">. </w:t>
      </w:r>
      <w:r>
        <w:rPr>
          <w:rFonts w:ascii="Arial" w:hAnsi="Arial" w:cs="Arial"/>
        </w:rPr>
        <w:t>Oktober</w:t>
      </w:r>
      <w:r w:rsidRPr="003A2746">
        <w:rPr>
          <w:rFonts w:ascii="Arial" w:hAnsi="Arial" w:cs="Arial"/>
        </w:rPr>
        <w:t xml:space="preserve"> </w:t>
      </w:r>
      <w:r w:rsidRPr="00C74157">
        <w:rPr>
          <w:rFonts w:ascii="Arial" w:hAnsi="Arial" w:cs="Arial"/>
          <w:color w:val="000000"/>
        </w:rPr>
        <w:t>20</w:t>
      </w:r>
      <w:r>
        <w:rPr>
          <w:rFonts w:ascii="Arial" w:hAnsi="Arial" w:cs="Arial"/>
          <w:color w:val="000000"/>
        </w:rPr>
        <w:t>2</w:t>
      </w:r>
      <w:bookmarkStart w:id="0" w:name="OLE_LINK4"/>
      <w:bookmarkStart w:id="1" w:name="OLE_LINK5"/>
      <w:r>
        <w:rPr>
          <w:rFonts w:ascii="Arial" w:hAnsi="Arial" w:cs="Arial"/>
          <w:color w:val="000000"/>
        </w:rPr>
        <w:t>2</w:t>
      </w:r>
    </w:p>
    <w:p w14:paraId="6368AA42" w14:textId="77777777" w:rsidR="001D70AE" w:rsidRDefault="001D70AE" w:rsidP="001D70AE">
      <w:pPr>
        <w:autoSpaceDE w:val="0"/>
        <w:autoSpaceDN w:val="0"/>
        <w:adjustRightInd w:val="0"/>
        <w:spacing w:after="0" w:line="240" w:lineRule="auto"/>
        <w:rPr>
          <w:rFonts w:ascii="Arial" w:hAnsi="Arial" w:cs="Arial"/>
          <w:color w:val="000000"/>
        </w:rPr>
      </w:pPr>
    </w:p>
    <w:p w14:paraId="415894B9" w14:textId="77777777" w:rsidR="001D70AE" w:rsidRPr="000B5BA3" w:rsidRDefault="001D70AE" w:rsidP="001D70AE">
      <w:pPr>
        <w:autoSpaceDE w:val="0"/>
        <w:autoSpaceDN w:val="0"/>
        <w:adjustRightInd w:val="0"/>
        <w:spacing w:after="0" w:line="360" w:lineRule="auto"/>
        <w:ind w:right="-2410"/>
        <w:rPr>
          <w:rFonts w:ascii="Arial" w:hAnsi="Arial" w:cs="Arial"/>
          <w:b/>
          <w:bCs/>
          <w:color w:val="000000"/>
        </w:rPr>
      </w:pPr>
    </w:p>
    <w:p w14:paraId="7E4E4283" w14:textId="77777777" w:rsidR="001D70AE" w:rsidRPr="000A5BF7" w:rsidRDefault="001D70AE" w:rsidP="001D70AE">
      <w:pPr>
        <w:autoSpaceDE w:val="0"/>
        <w:autoSpaceDN w:val="0"/>
        <w:adjustRightInd w:val="0"/>
        <w:spacing w:after="0" w:line="360" w:lineRule="auto"/>
        <w:ind w:right="-1984"/>
        <w:rPr>
          <w:rFonts w:ascii="Arial" w:hAnsi="Arial" w:cs="Arial"/>
          <w:b/>
          <w:bCs/>
          <w:color w:val="000000"/>
          <w:sz w:val="28"/>
          <w:szCs w:val="28"/>
        </w:rPr>
      </w:pPr>
      <w:r>
        <w:rPr>
          <w:rFonts w:ascii="Arial" w:hAnsi="Arial" w:cs="Arial"/>
          <w:b/>
          <w:bCs/>
          <w:color w:val="000000"/>
          <w:sz w:val="28"/>
          <w:szCs w:val="28"/>
        </w:rPr>
        <w:t>Stopp der Graue-Flecken-Förderung absolut kontraproduktiv</w:t>
      </w:r>
    </w:p>
    <w:p w14:paraId="1B5A9C78" w14:textId="4C7F426F" w:rsidR="001D70AE" w:rsidRPr="008A663A" w:rsidRDefault="001D70AE" w:rsidP="001D70AE">
      <w:pPr>
        <w:spacing w:line="360" w:lineRule="auto"/>
        <w:ind w:right="-1701"/>
        <w:rPr>
          <w:rFonts w:ascii="Arial" w:hAnsi="Arial" w:cs="Tahoma"/>
          <w:b/>
          <w:sz w:val="20"/>
          <w:szCs w:val="20"/>
        </w:rPr>
      </w:pPr>
      <w:r>
        <w:rPr>
          <w:rFonts w:ascii="Arial" w:hAnsi="Arial" w:cs="Tahoma"/>
          <w:b/>
          <w:sz w:val="20"/>
          <w:szCs w:val="20"/>
        </w:rPr>
        <w:t>Konzept für bedarfsorientierte Förderung würde für effizientere Mittelverwendung sorgen</w:t>
      </w:r>
    </w:p>
    <w:p w14:paraId="7E316B40" w14:textId="77777777" w:rsidR="001D70AE" w:rsidRDefault="001D70AE" w:rsidP="001D70AE">
      <w:pPr>
        <w:spacing w:line="360" w:lineRule="auto"/>
        <w:rPr>
          <w:rFonts w:ascii="Arial" w:hAnsi="Arial" w:cs="Arial"/>
          <w:b/>
          <w:bCs/>
          <w:color w:val="000000"/>
          <w:sz w:val="20"/>
          <w:szCs w:val="20"/>
        </w:rPr>
      </w:pPr>
      <w:r>
        <w:rPr>
          <w:rFonts w:ascii="Arial" w:hAnsi="Arial" w:cs="Arial"/>
          <w:b/>
          <w:bCs/>
          <w:color w:val="000000"/>
          <w:sz w:val="20"/>
          <w:szCs w:val="20"/>
        </w:rPr>
        <w:t xml:space="preserve">Ohne Ankündigung hat die Bundesregierung heute das Graue-Flecken-Förderprogramm rückwirkend zum 17. Oktober 2022 eingestellt. Begründung: Die Fördermittel seien für das Jahr 2022 erschöpft. „Mit dieser Entscheidung führt das Bundesministerium für Digitales und Verkehr BMDV seine Gigabit-Strategie ad absurdum. Zumal keine Aussagen darüber getroffen wurden, welche konkreten Auswirkungen diese Entscheidung hat“, stellt Dirk </w:t>
      </w:r>
      <w:proofErr w:type="spellStart"/>
      <w:r>
        <w:rPr>
          <w:rFonts w:ascii="Arial" w:hAnsi="Arial" w:cs="Arial"/>
          <w:b/>
          <w:bCs/>
          <w:color w:val="000000"/>
          <w:sz w:val="20"/>
          <w:szCs w:val="20"/>
        </w:rPr>
        <w:t>Fieml</w:t>
      </w:r>
      <w:proofErr w:type="spellEnd"/>
      <w:r>
        <w:rPr>
          <w:rFonts w:ascii="Arial" w:hAnsi="Arial" w:cs="Arial"/>
          <w:b/>
          <w:bCs/>
          <w:color w:val="000000"/>
          <w:sz w:val="20"/>
          <w:szCs w:val="20"/>
        </w:rPr>
        <w:t xml:space="preserve">, CEO des Breitbandspezialisten </w:t>
      </w:r>
      <w:proofErr w:type="spellStart"/>
      <w:r>
        <w:rPr>
          <w:rFonts w:ascii="Arial" w:hAnsi="Arial" w:cs="Arial"/>
          <w:b/>
          <w:bCs/>
          <w:color w:val="000000"/>
          <w:sz w:val="20"/>
          <w:szCs w:val="20"/>
        </w:rPr>
        <w:t>tktVivax</w:t>
      </w:r>
      <w:proofErr w:type="spellEnd"/>
      <w:r>
        <w:rPr>
          <w:rFonts w:ascii="Arial" w:hAnsi="Arial" w:cs="Arial"/>
          <w:b/>
          <w:bCs/>
          <w:color w:val="000000"/>
          <w:sz w:val="20"/>
          <w:szCs w:val="20"/>
        </w:rPr>
        <w:t xml:space="preserve"> Group fest. „</w:t>
      </w:r>
      <w:r w:rsidRPr="00C740FC">
        <w:rPr>
          <w:rFonts w:ascii="Arial" w:hAnsi="Arial" w:cs="Arial"/>
          <w:b/>
          <w:bCs/>
          <w:color w:val="000000"/>
          <w:sz w:val="20"/>
          <w:szCs w:val="20"/>
        </w:rPr>
        <w:t>Wir gehen bisher davon aus, dass bereits gestellte Förderanträge weiterhin Gültigkeit haben und auch laufende Verfahren davon nicht betroffen sind. Inwieweit genehmigte 3.3</w:t>
      </w:r>
      <w:r>
        <w:rPr>
          <w:rFonts w:ascii="Arial" w:hAnsi="Arial" w:cs="Arial"/>
          <w:b/>
          <w:bCs/>
          <w:color w:val="000000"/>
          <w:sz w:val="20"/>
          <w:szCs w:val="20"/>
        </w:rPr>
        <w:t>-</w:t>
      </w:r>
      <w:r w:rsidRPr="00C740FC">
        <w:rPr>
          <w:rFonts w:ascii="Arial" w:hAnsi="Arial" w:cs="Arial"/>
          <w:b/>
          <w:bCs/>
          <w:color w:val="000000"/>
          <w:sz w:val="20"/>
          <w:szCs w:val="20"/>
        </w:rPr>
        <w:t>Förderbescheide, bereits durchgeführte MEVs, etc. Auswirkung darauf haben</w:t>
      </w:r>
      <w:r>
        <w:rPr>
          <w:rFonts w:ascii="Arial" w:hAnsi="Arial" w:cs="Arial"/>
          <w:b/>
          <w:bCs/>
          <w:color w:val="000000"/>
          <w:sz w:val="20"/>
          <w:szCs w:val="20"/>
        </w:rPr>
        <w:t xml:space="preserve"> und</w:t>
      </w:r>
      <w:r w:rsidRPr="00C740FC">
        <w:rPr>
          <w:rFonts w:ascii="Arial" w:hAnsi="Arial" w:cs="Arial"/>
          <w:b/>
          <w:bCs/>
          <w:color w:val="000000"/>
          <w:sz w:val="20"/>
          <w:szCs w:val="20"/>
        </w:rPr>
        <w:t xml:space="preserve"> ob hier dennoch 3.1</w:t>
      </w:r>
      <w:r>
        <w:rPr>
          <w:rFonts w:ascii="Arial" w:hAnsi="Arial" w:cs="Arial"/>
          <w:b/>
          <w:bCs/>
          <w:color w:val="000000"/>
          <w:sz w:val="20"/>
          <w:szCs w:val="20"/>
        </w:rPr>
        <w:t>-</w:t>
      </w:r>
      <w:r w:rsidRPr="00C740FC">
        <w:rPr>
          <w:rFonts w:ascii="Arial" w:hAnsi="Arial" w:cs="Arial"/>
          <w:b/>
          <w:bCs/>
          <w:color w:val="000000"/>
          <w:sz w:val="20"/>
          <w:szCs w:val="20"/>
        </w:rPr>
        <w:t xml:space="preserve"> oder 3.2</w:t>
      </w:r>
      <w:r>
        <w:rPr>
          <w:rFonts w:ascii="Arial" w:hAnsi="Arial" w:cs="Arial"/>
          <w:b/>
          <w:bCs/>
          <w:color w:val="000000"/>
          <w:sz w:val="20"/>
          <w:szCs w:val="20"/>
        </w:rPr>
        <w:t>-</w:t>
      </w:r>
      <w:r w:rsidRPr="00C740FC">
        <w:rPr>
          <w:rFonts w:ascii="Arial" w:hAnsi="Arial" w:cs="Arial"/>
          <w:b/>
          <w:bCs/>
          <w:color w:val="000000"/>
          <w:sz w:val="20"/>
          <w:szCs w:val="20"/>
        </w:rPr>
        <w:t>Anträge gestellt werden können oder nicht</w:t>
      </w:r>
      <w:r>
        <w:rPr>
          <w:rFonts w:ascii="Arial" w:hAnsi="Arial" w:cs="Arial"/>
          <w:b/>
          <w:bCs/>
          <w:color w:val="000000"/>
          <w:sz w:val="20"/>
          <w:szCs w:val="20"/>
        </w:rPr>
        <w:t xml:space="preserve"> ist leider unklar. </w:t>
      </w:r>
      <w:r w:rsidRPr="00C740FC">
        <w:rPr>
          <w:rFonts w:ascii="Arial" w:hAnsi="Arial" w:cs="Arial"/>
          <w:b/>
          <w:bCs/>
          <w:color w:val="000000"/>
          <w:sz w:val="20"/>
          <w:szCs w:val="20"/>
        </w:rPr>
        <w:t xml:space="preserve">Für uns alle ist </w:t>
      </w:r>
      <w:r>
        <w:rPr>
          <w:rFonts w:ascii="Arial" w:hAnsi="Arial" w:cs="Arial"/>
          <w:b/>
          <w:bCs/>
          <w:color w:val="000000"/>
          <w:sz w:val="20"/>
          <w:szCs w:val="20"/>
        </w:rPr>
        <w:t xml:space="preserve">aus </w:t>
      </w:r>
      <w:r w:rsidRPr="00C740FC">
        <w:rPr>
          <w:rFonts w:ascii="Arial" w:hAnsi="Arial" w:cs="Arial"/>
          <w:b/>
          <w:bCs/>
          <w:color w:val="000000"/>
          <w:sz w:val="20"/>
          <w:szCs w:val="20"/>
        </w:rPr>
        <w:t xml:space="preserve">unserer Sicht </w:t>
      </w:r>
      <w:r>
        <w:rPr>
          <w:rFonts w:ascii="Arial" w:hAnsi="Arial" w:cs="Arial"/>
          <w:b/>
          <w:bCs/>
          <w:color w:val="000000"/>
          <w:sz w:val="20"/>
          <w:szCs w:val="20"/>
        </w:rPr>
        <w:t>die</w:t>
      </w:r>
      <w:r w:rsidRPr="00C740FC">
        <w:rPr>
          <w:rFonts w:ascii="Arial" w:hAnsi="Arial" w:cs="Arial"/>
          <w:b/>
          <w:bCs/>
          <w:color w:val="000000"/>
          <w:sz w:val="20"/>
          <w:szCs w:val="20"/>
        </w:rPr>
        <w:t xml:space="preserve"> Entscheidung des Ministeriums weitreichend und hat Auswirkung auf die ganze Branche</w:t>
      </w:r>
      <w:r>
        <w:rPr>
          <w:rFonts w:ascii="Arial" w:hAnsi="Arial" w:cs="Arial"/>
          <w:b/>
          <w:bCs/>
          <w:color w:val="000000"/>
          <w:sz w:val="20"/>
          <w:szCs w:val="20"/>
        </w:rPr>
        <w:t xml:space="preserve">“, so </w:t>
      </w:r>
      <w:proofErr w:type="spellStart"/>
      <w:r>
        <w:rPr>
          <w:rFonts w:ascii="Arial" w:hAnsi="Arial" w:cs="Arial"/>
          <w:b/>
          <w:bCs/>
          <w:color w:val="000000"/>
          <w:sz w:val="20"/>
          <w:szCs w:val="20"/>
        </w:rPr>
        <w:t>Fieml</w:t>
      </w:r>
      <w:proofErr w:type="spellEnd"/>
      <w:r>
        <w:rPr>
          <w:rFonts w:ascii="Arial" w:hAnsi="Arial" w:cs="Arial"/>
          <w:b/>
          <w:bCs/>
          <w:color w:val="000000"/>
          <w:sz w:val="20"/>
          <w:szCs w:val="20"/>
        </w:rPr>
        <w:t xml:space="preserve"> weiter.</w:t>
      </w:r>
    </w:p>
    <w:p w14:paraId="48EC7747" w14:textId="77777777" w:rsidR="001D70AE" w:rsidRDefault="001D70AE" w:rsidP="001D70AE">
      <w:pPr>
        <w:spacing w:line="360" w:lineRule="auto"/>
        <w:rPr>
          <w:rFonts w:ascii="Arial" w:hAnsi="Arial" w:cs="Arial"/>
          <w:color w:val="000000"/>
          <w:sz w:val="20"/>
          <w:szCs w:val="20"/>
        </w:rPr>
      </w:pPr>
      <w:proofErr w:type="spellStart"/>
      <w:r>
        <w:rPr>
          <w:rFonts w:ascii="Arial" w:hAnsi="Arial" w:cs="Arial"/>
          <w:color w:val="000000"/>
          <w:sz w:val="20"/>
          <w:szCs w:val="20"/>
        </w:rPr>
        <w:t>tktVivax</w:t>
      </w:r>
      <w:proofErr w:type="spellEnd"/>
      <w:r>
        <w:rPr>
          <w:rFonts w:ascii="Arial" w:hAnsi="Arial" w:cs="Arial"/>
          <w:color w:val="000000"/>
          <w:sz w:val="20"/>
          <w:szCs w:val="20"/>
        </w:rPr>
        <w:t xml:space="preserve"> ist als Umsetzungspartner in zahlreichen Glasfaserprojekten in ganz Deutschland aktiv und unterstützt Kommunen und Gebietskörperschaften ebenso wie Stadtwerke beim Ausbau der Glasfasernetze. Zudem hat das Unternehmen mit dem Arbeitskreis Glasfaser Deutschland (AK GAD) eine Plattform für den Erfahrungsaustausch und den Know-how-Transfer ins Leben gerufen, um die operative Umsetzung solcher Projekte zu erleichtern. „Sowohl unsere Kunden als auch die Mitglieder des AK-GAD sind durch diese absolut unüberlegte Entscheidung zutiefst verunsichert. Es steht zu befürchten, dass deswegen viele Projekte ausgebremst werden. Zumal gerade die Stadtwerke momentan wegen der Energiekrise ohnehin vielerorts den Glasfaserausbau aus Kostengründen auf den Prüfstand stellen“, berichtet Dirk </w:t>
      </w:r>
      <w:proofErr w:type="spellStart"/>
      <w:r>
        <w:rPr>
          <w:rFonts w:ascii="Arial" w:hAnsi="Arial" w:cs="Arial"/>
          <w:color w:val="000000"/>
          <w:sz w:val="20"/>
          <w:szCs w:val="20"/>
        </w:rPr>
        <w:t>Fieml</w:t>
      </w:r>
      <w:proofErr w:type="spellEnd"/>
      <w:r>
        <w:rPr>
          <w:rFonts w:ascii="Arial" w:hAnsi="Arial" w:cs="Arial"/>
          <w:color w:val="000000"/>
          <w:sz w:val="20"/>
          <w:szCs w:val="20"/>
        </w:rPr>
        <w:t xml:space="preserve">. </w:t>
      </w:r>
    </w:p>
    <w:p w14:paraId="32A8B08A" w14:textId="77777777" w:rsidR="001D70AE" w:rsidRDefault="001D70AE" w:rsidP="001D70AE">
      <w:pPr>
        <w:spacing w:line="360" w:lineRule="auto"/>
        <w:rPr>
          <w:rFonts w:ascii="Arial" w:hAnsi="Arial" w:cs="Arial"/>
          <w:color w:val="000000"/>
          <w:sz w:val="20"/>
          <w:szCs w:val="20"/>
        </w:rPr>
      </w:pPr>
      <w:r w:rsidRPr="00C41690">
        <w:rPr>
          <w:rFonts w:ascii="Arial" w:hAnsi="Arial" w:cs="Arial"/>
          <w:b/>
          <w:bCs/>
          <w:color w:val="000000"/>
          <w:sz w:val="20"/>
          <w:szCs w:val="20"/>
        </w:rPr>
        <w:t>Bedarfsorientierte Förderung</w:t>
      </w:r>
      <w:r w:rsidRPr="00C41690">
        <w:rPr>
          <w:rFonts w:ascii="Arial" w:hAnsi="Arial" w:cs="Arial"/>
          <w:b/>
          <w:bCs/>
          <w:color w:val="000000"/>
          <w:sz w:val="20"/>
          <w:szCs w:val="20"/>
        </w:rPr>
        <w:br/>
      </w:r>
      <w:proofErr w:type="spellStart"/>
      <w:r>
        <w:rPr>
          <w:rFonts w:ascii="Arial" w:hAnsi="Arial" w:cs="Arial"/>
          <w:color w:val="000000"/>
          <w:sz w:val="20"/>
          <w:szCs w:val="20"/>
        </w:rPr>
        <w:t>tktVivax</w:t>
      </w:r>
      <w:proofErr w:type="spellEnd"/>
      <w:r>
        <w:rPr>
          <w:rFonts w:ascii="Arial" w:hAnsi="Arial" w:cs="Arial"/>
          <w:color w:val="000000"/>
          <w:sz w:val="20"/>
          <w:szCs w:val="20"/>
        </w:rPr>
        <w:t xml:space="preserve"> hatte schon im Juni dieses Jahres ein Konzept für die Umstellung der Förderung auf ein bedarfsorientiertes Modell vorgelegt. Damit könnten durch </w:t>
      </w:r>
      <w:r>
        <w:rPr>
          <w:rFonts w:ascii="Arial" w:hAnsi="Arial" w:cs="Arial"/>
          <w:color w:val="000000"/>
          <w:sz w:val="20"/>
          <w:szCs w:val="20"/>
        </w:rPr>
        <w:lastRenderedPageBreak/>
        <w:t xml:space="preserve">eine deutlich gezieltere Förderung die zur Verfügung stehenden Mittel effizienter eingesetzt und auf deutlich mehr Projekte verteilt werden. Über eine intelligente Kopplung mit dem eigenwirtschaftlichen Ausbau würden die Verfahren zudem verkürzt und der Ausbau beschleunigt. „Wir stellen unser Konzept dem BMVD gerne vor, denn auf dieser Basis hätten die vorgesehenen Fördermittel für dieses Jahr sicher ausgereicht“, so </w:t>
      </w:r>
      <w:proofErr w:type="spellStart"/>
      <w:r>
        <w:rPr>
          <w:rFonts w:ascii="Arial" w:hAnsi="Arial" w:cs="Arial"/>
          <w:color w:val="000000"/>
          <w:sz w:val="20"/>
          <w:szCs w:val="20"/>
        </w:rPr>
        <w:t>Fieml</w:t>
      </w:r>
      <w:proofErr w:type="spellEnd"/>
      <w:r>
        <w:rPr>
          <w:rFonts w:ascii="Arial" w:hAnsi="Arial" w:cs="Arial"/>
          <w:color w:val="000000"/>
          <w:sz w:val="20"/>
          <w:szCs w:val="20"/>
        </w:rPr>
        <w:t>.</w:t>
      </w:r>
    </w:p>
    <w:p w14:paraId="0C897E7E" w14:textId="77777777" w:rsidR="001D70AE" w:rsidRPr="00473FBA" w:rsidRDefault="001D70AE" w:rsidP="001D70AE">
      <w:pPr>
        <w:spacing w:line="360" w:lineRule="auto"/>
        <w:rPr>
          <w:rFonts w:ascii="Arial" w:hAnsi="Arial" w:cs="Arial"/>
          <w:color w:val="000000"/>
          <w:sz w:val="20"/>
          <w:szCs w:val="20"/>
        </w:rPr>
      </w:pPr>
      <w:r>
        <w:rPr>
          <w:rFonts w:ascii="Arial" w:hAnsi="Arial" w:cs="Arial"/>
          <w:color w:val="000000"/>
          <w:sz w:val="20"/>
          <w:szCs w:val="20"/>
        </w:rPr>
        <w:t xml:space="preserve">Mehr Informationen: </w:t>
      </w:r>
      <w:hyperlink r:id="rId7" w:history="1">
        <w:r w:rsidRPr="00727485">
          <w:rPr>
            <w:rStyle w:val="Hyperlink"/>
            <w:rFonts w:ascii="Arial" w:hAnsi="Arial" w:cs="Arial"/>
            <w:sz w:val="20"/>
            <w:szCs w:val="20"/>
          </w:rPr>
          <w:t>https://www.tkt-vivax.de//kachelinhalt/tktvivax-bedarfsorientiert-fordern-statt-potenziale-analysieren</w:t>
        </w:r>
      </w:hyperlink>
    </w:p>
    <w:tbl>
      <w:tblPr>
        <w:tblW w:w="9781" w:type="dxa"/>
        <w:tblLook w:val="04A0" w:firstRow="1" w:lastRow="0" w:firstColumn="1" w:lastColumn="0" w:noHBand="0" w:noVBand="1"/>
      </w:tblPr>
      <w:tblGrid>
        <w:gridCol w:w="4962"/>
        <w:gridCol w:w="4819"/>
      </w:tblGrid>
      <w:tr w:rsidR="001D70AE" w:rsidRPr="000655B7" w14:paraId="4BB99F62" w14:textId="77777777" w:rsidTr="005F088B">
        <w:tc>
          <w:tcPr>
            <w:tcW w:w="4962" w:type="dxa"/>
            <w:shd w:val="clear" w:color="auto" w:fill="auto"/>
          </w:tcPr>
          <w:p w14:paraId="11C671E1" w14:textId="77777777" w:rsidR="001D70AE" w:rsidRDefault="001D70AE" w:rsidP="005F088B">
            <w:pPr>
              <w:widowControl w:val="0"/>
              <w:tabs>
                <w:tab w:val="left" w:pos="3969"/>
              </w:tabs>
              <w:autoSpaceDE w:val="0"/>
              <w:autoSpaceDN w:val="0"/>
              <w:adjustRightInd w:val="0"/>
              <w:spacing w:after="0" w:line="240" w:lineRule="auto"/>
              <w:ind w:left="-108" w:right="176"/>
              <w:rPr>
                <w:rFonts w:ascii="Arial" w:hAnsi="Arial" w:cs="Calibri"/>
                <w:b/>
                <w:sz w:val="16"/>
                <w:szCs w:val="26"/>
                <w:lang w:eastAsia="de-DE"/>
              </w:rPr>
            </w:pPr>
            <w:r w:rsidRPr="000655B7">
              <w:rPr>
                <w:rFonts w:ascii="Arial" w:hAnsi="Arial" w:cs="Calibri"/>
                <w:b/>
                <w:sz w:val="16"/>
                <w:szCs w:val="26"/>
                <w:lang w:eastAsia="de-DE"/>
              </w:rPr>
              <w:t>Kontaktdaten:</w:t>
            </w:r>
          </w:p>
          <w:p w14:paraId="050B90DF" w14:textId="77777777" w:rsidR="001D70AE" w:rsidRDefault="001D70AE" w:rsidP="005F088B">
            <w:pPr>
              <w:widowControl w:val="0"/>
              <w:tabs>
                <w:tab w:val="left" w:pos="3969"/>
              </w:tabs>
              <w:autoSpaceDE w:val="0"/>
              <w:autoSpaceDN w:val="0"/>
              <w:adjustRightInd w:val="0"/>
              <w:spacing w:after="0" w:line="240" w:lineRule="auto"/>
              <w:ind w:left="-108" w:right="176"/>
              <w:rPr>
                <w:rFonts w:ascii="Arial" w:hAnsi="Arial" w:cs="Calibri"/>
                <w:sz w:val="16"/>
                <w:szCs w:val="26"/>
                <w:lang w:eastAsia="de-DE"/>
              </w:rPr>
            </w:pPr>
            <w:proofErr w:type="spellStart"/>
            <w:r>
              <w:rPr>
                <w:rFonts w:ascii="Arial" w:hAnsi="Arial" w:cs="Calibri"/>
                <w:sz w:val="16"/>
                <w:szCs w:val="26"/>
                <w:lang w:eastAsia="de-DE"/>
              </w:rPr>
              <w:t>tkt</w:t>
            </w:r>
            <w:r w:rsidRPr="000655B7">
              <w:rPr>
                <w:rFonts w:ascii="Arial" w:hAnsi="Arial" w:cs="Calibri"/>
                <w:sz w:val="16"/>
                <w:szCs w:val="26"/>
                <w:lang w:eastAsia="de-DE"/>
              </w:rPr>
              <w:t>Vivax</w:t>
            </w:r>
            <w:proofErr w:type="spellEnd"/>
            <w:r w:rsidRPr="000655B7">
              <w:rPr>
                <w:rFonts w:ascii="Arial" w:hAnsi="Arial" w:cs="Calibri"/>
                <w:sz w:val="16"/>
                <w:szCs w:val="26"/>
                <w:lang w:eastAsia="de-DE"/>
              </w:rPr>
              <w:t xml:space="preserve"> GmbH – Dirk </w:t>
            </w:r>
            <w:proofErr w:type="spellStart"/>
            <w:r w:rsidRPr="000655B7">
              <w:rPr>
                <w:rFonts w:ascii="Arial" w:hAnsi="Arial" w:cs="Calibri"/>
                <w:sz w:val="16"/>
                <w:szCs w:val="26"/>
                <w:lang w:eastAsia="de-DE"/>
              </w:rPr>
              <w:t>Fieml</w:t>
            </w:r>
            <w:proofErr w:type="spellEnd"/>
            <w:r w:rsidRPr="000655B7">
              <w:rPr>
                <w:rFonts w:ascii="Arial" w:hAnsi="Arial" w:cs="Calibri"/>
                <w:sz w:val="16"/>
                <w:szCs w:val="26"/>
                <w:lang w:eastAsia="de-DE"/>
              </w:rPr>
              <w:br/>
            </w:r>
            <w:r w:rsidRPr="00BA0B62">
              <w:rPr>
                <w:rFonts w:ascii="Arial" w:hAnsi="Arial" w:cs="Calibri"/>
                <w:sz w:val="16"/>
                <w:szCs w:val="26"/>
                <w:lang w:eastAsia="de-DE"/>
              </w:rPr>
              <w:t>Fasanenstr. 3</w:t>
            </w:r>
            <w:r>
              <w:rPr>
                <w:rFonts w:ascii="Arial" w:hAnsi="Arial" w:cs="Calibri"/>
                <w:sz w:val="16"/>
                <w:szCs w:val="26"/>
                <w:lang w:eastAsia="de-DE"/>
              </w:rPr>
              <w:t>3 –</w:t>
            </w:r>
            <w:r w:rsidRPr="007B0E5E">
              <w:rPr>
                <w:rFonts w:ascii="Arial" w:hAnsi="Arial" w:cs="Calibri"/>
                <w:sz w:val="16"/>
                <w:szCs w:val="26"/>
                <w:lang w:eastAsia="de-DE"/>
              </w:rPr>
              <w:t> 1</w:t>
            </w:r>
            <w:r>
              <w:rPr>
                <w:rFonts w:ascii="Arial" w:hAnsi="Arial" w:cs="Calibri"/>
                <w:sz w:val="16"/>
                <w:szCs w:val="26"/>
                <w:lang w:eastAsia="de-DE"/>
              </w:rPr>
              <w:t>0719</w:t>
            </w:r>
            <w:r w:rsidRPr="007B0E5E">
              <w:rPr>
                <w:rFonts w:ascii="Arial" w:hAnsi="Arial" w:cs="Calibri"/>
                <w:sz w:val="16"/>
                <w:szCs w:val="26"/>
                <w:lang w:eastAsia="de-DE"/>
              </w:rPr>
              <w:t xml:space="preserve"> Berlin</w:t>
            </w:r>
            <w:r>
              <w:rPr>
                <w:rFonts w:ascii="Arial" w:hAnsi="Arial" w:cs="Calibri"/>
                <w:sz w:val="16"/>
                <w:szCs w:val="26"/>
                <w:lang w:eastAsia="de-DE"/>
              </w:rPr>
              <w:br/>
            </w:r>
            <w:r w:rsidRPr="008457BE">
              <w:rPr>
                <w:rFonts w:ascii="Arial" w:hAnsi="Arial" w:cs="Calibri"/>
                <w:sz w:val="16"/>
                <w:szCs w:val="26"/>
                <w:lang w:eastAsia="de-DE"/>
              </w:rPr>
              <w:t xml:space="preserve">Tel: </w:t>
            </w:r>
            <w:r w:rsidRPr="00044557">
              <w:rPr>
                <w:rFonts w:ascii="Arial" w:hAnsi="Arial" w:cs="Calibri"/>
                <w:sz w:val="16"/>
                <w:szCs w:val="26"/>
                <w:lang w:eastAsia="de-DE"/>
              </w:rPr>
              <w:t>+49 30 235 919 200</w:t>
            </w:r>
            <w:r>
              <w:rPr>
                <w:rFonts w:ascii="Arial" w:hAnsi="Arial" w:cs="Calibri"/>
                <w:sz w:val="16"/>
                <w:szCs w:val="26"/>
                <w:lang w:eastAsia="de-DE"/>
              </w:rPr>
              <w:br/>
            </w:r>
            <w:hyperlink r:id="rId8" w:history="1">
              <w:r w:rsidRPr="00A67290">
                <w:rPr>
                  <w:rStyle w:val="Hyperlink"/>
                  <w:rFonts w:ascii="Arial" w:hAnsi="Arial" w:cs="Calibri"/>
                  <w:sz w:val="16"/>
                  <w:szCs w:val="26"/>
                  <w:lang w:eastAsia="de-DE"/>
                </w:rPr>
                <w:t>d.fieml@tkt-vivax.de</w:t>
              </w:r>
            </w:hyperlink>
            <w:r w:rsidRPr="008457BE">
              <w:rPr>
                <w:rFonts w:ascii="Arial" w:hAnsi="Arial" w:cs="Calibri"/>
                <w:sz w:val="16"/>
                <w:szCs w:val="26"/>
                <w:lang w:eastAsia="de-DE"/>
              </w:rPr>
              <w:br/>
            </w:r>
            <w:hyperlink r:id="rId9" w:history="1">
              <w:r w:rsidRPr="006233F9">
                <w:rPr>
                  <w:rStyle w:val="Hyperlink"/>
                  <w:rFonts w:ascii="Arial" w:hAnsi="Arial" w:cs="Calibri"/>
                  <w:sz w:val="16"/>
                  <w:szCs w:val="26"/>
                  <w:lang w:eastAsia="de-DE"/>
                </w:rPr>
                <w:t>www.tkt-vivax.de</w:t>
              </w:r>
            </w:hyperlink>
          </w:p>
          <w:p w14:paraId="27C15D1B" w14:textId="77777777" w:rsidR="001D70AE" w:rsidRPr="004E3948" w:rsidRDefault="001D70AE" w:rsidP="005F088B">
            <w:pPr>
              <w:widowControl w:val="0"/>
              <w:tabs>
                <w:tab w:val="left" w:pos="3969"/>
              </w:tabs>
              <w:autoSpaceDE w:val="0"/>
              <w:autoSpaceDN w:val="0"/>
              <w:adjustRightInd w:val="0"/>
              <w:spacing w:line="240" w:lineRule="auto"/>
              <w:ind w:left="-109" w:right="176"/>
              <w:rPr>
                <w:rFonts w:ascii="Arial" w:hAnsi="Arial" w:cs="Calibri"/>
                <w:b/>
                <w:sz w:val="16"/>
                <w:szCs w:val="26"/>
                <w:lang w:eastAsia="de-DE"/>
              </w:rPr>
            </w:pPr>
          </w:p>
        </w:tc>
        <w:tc>
          <w:tcPr>
            <w:tcW w:w="4819" w:type="dxa"/>
            <w:shd w:val="clear" w:color="auto" w:fill="auto"/>
          </w:tcPr>
          <w:p w14:paraId="401DA116" w14:textId="77777777" w:rsidR="001D70AE" w:rsidRPr="000655B7" w:rsidRDefault="001D70AE" w:rsidP="005F088B">
            <w:pPr>
              <w:widowControl w:val="0"/>
              <w:autoSpaceDE w:val="0"/>
              <w:autoSpaceDN w:val="0"/>
              <w:adjustRightInd w:val="0"/>
              <w:spacing w:line="240" w:lineRule="auto"/>
              <w:ind w:left="34" w:right="742"/>
              <w:rPr>
                <w:rFonts w:ascii="Arial" w:hAnsi="Arial" w:cs="Calibri"/>
                <w:b/>
                <w:sz w:val="16"/>
                <w:szCs w:val="26"/>
                <w:lang w:eastAsia="de-DE"/>
              </w:rPr>
            </w:pPr>
            <w:r w:rsidRPr="000655B7">
              <w:rPr>
                <w:rFonts w:ascii="Arial" w:hAnsi="Arial" w:cs="Calibri"/>
                <w:b/>
                <w:sz w:val="16"/>
                <w:szCs w:val="26"/>
                <w:lang w:eastAsia="de-DE"/>
              </w:rPr>
              <w:t>Presse- und Öffentlichkeitsarbeit:</w:t>
            </w:r>
            <w:r w:rsidRPr="000655B7">
              <w:rPr>
                <w:rFonts w:ascii="Arial" w:hAnsi="Arial" w:cs="Calibri"/>
                <w:b/>
                <w:sz w:val="16"/>
                <w:szCs w:val="26"/>
                <w:lang w:eastAsia="de-DE"/>
              </w:rPr>
              <w:br/>
            </w:r>
            <w:r w:rsidRPr="000655B7">
              <w:rPr>
                <w:rFonts w:ascii="Arial" w:hAnsi="Arial" w:cs="Calibri"/>
                <w:sz w:val="16"/>
                <w:szCs w:val="26"/>
                <w:lang w:eastAsia="de-DE"/>
              </w:rPr>
              <w:t>Uwe Pagel – Press’n’Relations GmbH</w:t>
            </w:r>
            <w:r w:rsidRPr="000655B7">
              <w:rPr>
                <w:rFonts w:ascii="Arial" w:hAnsi="Arial" w:cs="Calibri"/>
                <w:sz w:val="16"/>
                <w:szCs w:val="26"/>
                <w:lang w:eastAsia="de-DE"/>
              </w:rPr>
              <w:br/>
              <w:t>Magirusstraße 33 – 89077 Ulm</w:t>
            </w:r>
            <w:r w:rsidRPr="000655B7">
              <w:rPr>
                <w:rFonts w:ascii="Arial" w:hAnsi="Arial" w:cs="Calibri"/>
                <w:sz w:val="16"/>
                <w:szCs w:val="26"/>
                <w:lang w:eastAsia="de-DE"/>
              </w:rPr>
              <w:br/>
              <w:t xml:space="preserve">Tel.: +49 731 962 87-29 </w:t>
            </w:r>
            <w:r w:rsidRPr="000655B7">
              <w:rPr>
                <w:rFonts w:ascii="Arial" w:hAnsi="Arial" w:cs="Calibri"/>
                <w:sz w:val="16"/>
                <w:szCs w:val="26"/>
                <w:lang w:eastAsia="de-DE"/>
              </w:rPr>
              <w:br/>
            </w:r>
            <w:hyperlink r:id="rId10" w:history="1">
              <w:r w:rsidRPr="000655B7">
                <w:rPr>
                  <w:rStyle w:val="Hyperlink"/>
                  <w:rFonts w:ascii="Arial" w:hAnsi="Arial" w:cs="Calibri"/>
                  <w:sz w:val="16"/>
                  <w:szCs w:val="26"/>
                  <w:lang w:eastAsia="de-DE"/>
                </w:rPr>
                <w:t>upa@press-n-relations.de</w:t>
              </w:r>
            </w:hyperlink>
            <w:r w:rsidRPr="000655B7">
              <w:rPr>
                <w:rFonts w:ascii="Arial" w:hAnsi="Arial" w:cs="Calibri"/>
                <w:sz w:val="16"/>
                <w:szCs w:val="26"/>
                <w:lang w:eastAsia="de-DE"/>
              </w:rPr>
              <w:br/>
              <w:t>www.press-n-relations.com</w:t>
            </w:r>
          </w:p>
        </w:tc>
      </w:tr>
    </w:tbl>
    <w:bookmarkEnd w:id="0"/>
    <w:bookmarkEnd w:id="1"/>
    <w:p w14:paraId="2B245D00" w14:textId="77777777" w:rsidR="001D70AE" w:rsidRDefault="001D70AE" w:rsidP="001D70AE">
      <w:pPr>
        <w:widowControl w:val="0"/>
        <w:autoSpaceDE w:val="0"/>
        <w:autoSpaceDN w:val="0"/>
        <w:adjustRightInd w:val="0"/>
        <w:spacing w:line="240" w:lineRule="auto"/>
        <w:ind w:left="34" w:right="-141"/>
        <w:rPr>
          <w:rFonts w:ascii="Arial" w:hAnsi="Arial" w:cs="Calibri"/>
          <w:sz w:val="16"/>
          <w:szCs w:val="26"/>
          <w:lang w:eastAsia="de-DE"/>
        </w:rPr>
      </w:pPr>
      <w:r w:rsidRPr="00E14F96">
        <w:rPr>
          <w:rFonts w:ascii="Arial" w:hAnsi="Arial" w:cs="Calibri"/>
          <w:sz w:val="16"/>
          <w:szCs w:val="26"/>
          <w:lang w:eastAsia="de-DE"/>
        </w:rPr>
        <w:t xml:space="preserve">Mit dem Arbeitskreis Glasfaserausbau Deutschland (AK GAD) hat die </w:t>
      </w:r>
      <w:proofErr w:type="spellStart"/>
      <w:r w:rsidRPr="00E14F96">
        <w:rPr>
          <w:rFonts w:ascii="Arial" w:hAnsi="Arial" w:cs="Calibri"/>
          <w:sz w:val="16"/>
          <w:szCs w:val="26"/>
          <w:lang w:eastAsia="de-DE"/>
        </w:rPr>
        <w:t>tktVivax</w:t>
      </w:r>
      <w:proofErr w:type="spellEnd"/>
      <w:r w:rsidRPr="00E14F96">
        <w:rPr>
          <w:rFonts w:ascii="Arial" w:hAnsi="Arial" w:cs="Calibri"/>
          <w:sz w:val="16"/>
          <w:szCs w:val="26"/>
          <w:lang w:eastAsia="de-DE"/>
        </w:rPr>
        <w:t xml:space="preserve"> Group eine Initiative ins Leben gerufen, die helfen soll, den flächendeckenden Ausbau von Breitbandnetzen zu erleichtern. Im Fokus der Arbeit stehen operative Fragen rund um den Ausbau, den Betrieb und die Vermarktung von Glasfasernetzen sowie der vor- und nachgelagerten Infrastruktur. Der AK GAD agiert dabei vornehmlich als Plattform für den Informationsaustausch und den Know-how-Transfer. </w:t>
      </w:r>
    </w:p>
    <w:p w14:paraId="2D10A025" w14:textId="77777777" w:rsidR="001D70AE" w:rsidRPr="009F0F94" w:rsidRDefault="001D70AE" w:rsidP="001D70AE">
      <w:pPr>
        <w:widowControl w:val="0"/>
        <w:autoSpaceDE w:val="0"/>
        <w:autoSpaceDN w:val="0"/>
        <w:adjustRightInd w:val="0"/>
        <w:spacing w:line="240" w:lineRule="auto"/>
        <w:ind w:left="34" w:right="-141"/>
        <w:rPr>
          <w:rFonts w:ascii="Arial" w:hAnsi="Arial" w:cs="Calibri"/>
          <w:sz w:val="16"/>
          <w:szCs w:val="26"/>
          <w:lang w:eastAsia="de-DE"/>
        </w:rPr>
      </w:pPr>
      <w:r w:rsidRPr="004574AD">
        <w:rPr>
          <w:rFonts w:ascii="Arial" w:hAnsi="Arial" w:cs="Calibri"/>
          <w:sz w:val="16"/>
          <w:szCs w:val="26"/>
          <w:lang w:eastAsia="de-DE"/>
        </w:rPr>
        <w:t xml:space="preserve">Die </w:t>
      </w:r>
      <w:proofErr w:type="spellStart"/>
      <w:r w:rsidRPr="004574AD">
        <w:rPr>
          <w:rFonts w:ascii="Arial" w:hAnsi="Arial" w:cs="Calibri"/>
          <w:sz w:val="16"/>
          <w:szCs w:val="26"/>
          <w:lang w:eastAsia="de-DE"/>
        </w:rPr>
        <w:t>tktVivax</w:t>
      </w:r>
      <w:proofErr w:type="spellEnd"/>
      <w:r w:rsidRPr="004574AD">
        <w:rPr>
          <w:rFonts w:ascii="Arial" w:hAnsi="Arial" w:cs="Calibri"/>
          <w:sz w:val="16"/>
          <w:szCs w:val="26"/>
          <w:lang w:eastAsia="de-DE"/>
        </w:rPr>
        <w:t xml:space="preserve"> Group mit Sitz in Berlin und Niederlassungen in Stuttgart, Köln und Hamburg unterstützt ihre Kunden als ganzheitlicher Umsetzungsbegleiter für den Glasfaserausbau. Mit rund 150 Beschäftigten in den Gruppenunternehmen deckt </w:t>
      </w:r>
      <w:proofErr w:type="spellStart"/>
      <w:r w:rsidRPr="004574AD">
        <w:rPr>
          <w:rFonts w:ascii="Arial" w:hAnsi="Arial" w:cs="Calibri"/>
          <w:sz w:val="16"/>
          <w:szCs w:val="26"/>
          <w:lang w:eastAsia="de-DE"/>
        </w:rPr>
        <w:t>tktVivax</w:t>
      </w:r>
      <w:proofErr w:type="spellEnd"/>
      <w:r w:rsidRPr="004574AD">
        <w:rPr>
          <w:rFonts w:ascii="Arial" w:hAnsi="Arial" w:cs="Calibri"/>
          <w:sz w:val="16"/>
          <w:szCs w:val="26"/>
          <w:lang w:eastAsia="de-DE"/>
        </w:rPr>
        <w:t xml:space="preserve"> den kompletten Prozess bei der Planung und Umsetzung von Glasfaserprojekten ab. Die Palette der Leistungen reicht von der Strategiefindung, Business-Analyse und Fördermittelberatung über die Planung und den Bau von Glasfaserinfrastrukturen bis hin zum Vertrieb von Telekommunikations-Produkten und dem Betrieb von Telekommunikationsnetzen. Dazu kommen eigene IT-Lösungen wie etwa das Netz- und Betriebsmanagementsystem DICILINA. Unter dem Dach der </w:t>
      </w:r>
      <w:proofErr w:type="spellStart"/>
      <w:r w:rsidRPr="004574AD">
        <w:rPr>
          <w:rFonts w:ascii="Arial" w:hAnsi="Arial" w:cs="Calibri"/>
          <w:sz w:val="16"/>
          <w:szCs w:val="26"/>
          <w:lang w:eastAsia="de-DE"/>
        </w:rPr>
        <w:t>tktVivax</w:t>
      </w:r>
      <w:proofErr w:type="spellEnd"/>
      <w:r w:rsidRPr="004574AD">
        <w:rPr>
          <w:rFonts w:ascii="Arial" w:hAnsi="Arial" w:cs="Calibri"/>
          <w:sz w:val="16"/>
          <w:szCs w:val="26"/>
          <w:lang w:eastAsia="de-DE"/>
        </w:rPr>
        <w:t xml:space="preserve"> Group sind die Unternehmen </w:t>
      </w:r>
      <w:proofErr w:type="spellStart"/>
      <w:r w:rsidRPr="004574AD">
        <w:rPr>
          <w:rFonts w:ascii="Arial" w:hAnsi="Arial" w:cs="Calibri"/>
          <w:sz w:val="16"/>
          <w:szCs w:val="26"/>
          <w:lang w:eastAsia="de-DE"/>
        </w:rPr>
        <w:t>Vivax</w:t>
      </w:r>
      <w:proofErr w:type="spellEnd"/>
      <w:r w:rsidRPr="004574AD">
        <w:rPr>
          <w:rFonts w:ascii="Arial" w:hAnsi="Arial" w:cs="Calibri"/>
          <w:sz w:val="16"/>
          <w:szCs w:val="26"/>
          <w:lang w:eastAsia="de-DE"/>
        </w:rPr>
        <w:t xml:space="preserve"> Consulting, </w:t>
      </w:r>
      <w:proofErr w:type="spellStart"/>
      <w:r w:rsidRPr="004574AD">
        <w:rPr>
          <w:rFonts w:ascii="Arial" w:hAnsi="Arial" w:cs="Calibri"/>
          <w:sz w:val="16"/>
          <w:szCs w:val="26"/>
          <w:lang w:eastAsia="de-DE"/>
        </w:rPr>
        <w:t>Vivax</w:t>
      </w:r>
      <w:proofErr w:type="spellEnd"/>
      <w:r w:rsidRPr="004574AD">
        <w:rPr>
          <w:rFonts w:ascii="Arial" w:hAnsi="Arial" w:cs="Calibri"/>
          <w:sz w:val="16"/>
          <w:szCs w:val="26"/>
          <w:lang w:eastAsia="de-DE"/>
        </w:rPr>
        <w:t xml:space="preserve"> Engineering, </w:t>
      </w:r>
      <w:proofErr w:type="spellStart"/>
      <w:r w:rsidRPr="004574AD">
        <w:rPr>
          <w:rFonts w:ascii="Arial" w:hAnsi="Arial" w:cs="Calibri"/>
          <w:sz w:val="16"/>
          <w:szCs w:val="26"/>
          <w:lang w:eastAsia="de-DE"/>
        </w:rPr>
        <w:t>Vivax</w:t>
      </w:r>
      <w:proofErr w:type="spellEnd"/>
      <w:r w:rsidRPr="004574AD">
        <w:rPr>
          <w:rFonts w:ascii="Arial" w:hAnsi="Arial" w:cs="Calibri"/>
          <w:sz w:val="16"/>
          <w:szCs w:val="26"/>
          <w:lang w:eastAsia="de-DE"/>
        </w:rPr>
        <w:t xml:space="preserve"> Solution, </w:t>
      </w:r>
      <w:proofErr w:type="spellStart"/>
      <w:r w:rsidRPr="004574AD">
        <w:rPr>
          <w:rFonts w:ascii="Arial" w:hAnsi="Arial" w:cs="Calibri"/>
          <w:sz w:val="16"/>
          <w:szCs w:val="26"/>
          <w:lang w:eastAsia="de-DE"/>
        </w:rPr>
        <w:t>Vivax</w:t>
      </w:r>
      <w:proofErr w:type="spellEnd"/>
      <w:r w:rsidRPr="004574AD">
        <w:rPr>
          <w:rFonts w:ascii="Arial" w:hAnsi="Arial" w:cs="Calibri"/>
          <w:sz w:val="16"/>
          <w:szCs w:val="26"/>
          <w:lang w:eastAsia="de-DE"/>
        </w:rPr>
        <w:t xml:space="preserve"> Net, </w:t>
      </w:r>
      <w:proofErr w:type="spellStart"/>
      <w:r w:rsidRPr="004574AD">
        <w:rPr>
          <w:rFonts w:ascii="Arial" w:hAnsi="Arial" w:cs="Calibri"/>
          <w:sz w:val="16"/>
          <w:szCs w:val="26"/>
          <w:lang w:eastAsia="de-DE"/>
        </w:rPr>
        <w:t>Cogento</w:t>
      </w:r>
      <w:proofErr w:type="spellEnd"/>
      <w:r w:rsidRPr="004574AD">
        <w:rPr>
          <w:rFonts w:ascii="Arial" w:hAnsi="Arial" w:cs="Calibri"/>
          <w:sz w:val="16"/>
          <w:szCs w:val="26"/>
          <w:lang w:eastAsia="de-DE"/>
        </w:rPr>
        <w:t xml:space="preserve"> sowie </w:t>
      </w:r>
      <w:r>
        <w:rPr>
          <w:rFonts w:ascii="Arial" w:hAnsi="Arial" w:cs="Calibri"/>
          <w:sz w:val="16"/>
          <w:szCs w:val="26"/>
          <w:lang w:eastAsia="de-DE"/>
        </w:rPr>
        <w:t>die</w:t>
      </w:r>
      <w:r w:rsidRPr="004574AD">
        <w:rPr>
          <w:rFonts w:ascii="Arial" w:hAnsi="Arial" w:cs="Calibri"/>
          <w:sz w:val="16"/>
          <w:szCs w:val="26"/>
          <w:lang w:eastAsia="de-DE"/>
        </w:rPr>
        <w:t xml:space="preserve"> </w:t>
      </w:r>
      <w:proofErr w:type="gramStart"/>
      <w:r>
        <w:rPr>
          <w:rFonts w:ascii="Arial" w:hAnsi="Arial" w:cs="Calibri"/>
          <w:sz w:val="16"/>
          <w:szCs w:val="26"/>
          <w:lang w:eastAsia="de-DE"/>
        </w:rPr>
        <w:t>LBG B</w:t>
      </w:r>
      <w:r w:rsidRPr="004574AD">
        <w:rPr>
          <w:rFonts w:ascii="Arial" w:hAnsi="Arial" w:cs="Calibri"/>
          <w:sz w:val="16"/>
          <w:szCs w:val="26"/>
          <w:lang w:eastAsia="de-DE"/>
        </w:rPr>
        <w:t>reitbandgesellschaft</w:t>
      </w:r>
      <w:proofErr w:type="gramEnd"/>
      <w:r w:rsidRPr="004574AD">
        <w:rPr>
          <w:rFonts w:ascii="Arial" w:hAnsi="Arial" w:cs="Calibri"/>
          <w:sz w:val="16"/>
          <w:szCs w:val="26"/>
          <w:lang w:eastAsia="de-DE"/>
        </w:rPr>
        <w:t xml:space="preserve"> angesiedelt. Zielgruppe für Produkte und Dienstleistungen sind sowohl Stadtwerke, Netzbetreiber als auch Kommunalverwaltungen und Landkreise.</w:t>
      </w:r>
    </w:p>
    <w:p w14:paraId="71DC686E" w14:textId="77777777" w:rsidR="001D70AE" w:rsidRPr="00126EDD" w:rsidRDefault="001D70AE" w:rsidP="001D70AE"/>
    <w:p w14:paraId="2E55E5C6" w14:textId="014AD25D" w:rsidR="007749DD" w:rsidRPr="001D70AE" w:rsidRDefault="007749DD" w:rsidP="001D70AE"/>
    <w:sectPr w:rsidR="007749DD" w:rsidRPr="001D70AE" w:rsidSect="000E11A2">
      <w:headerReference w:type="default" r:id="rId11"/>
      <w:pgSz w:w="12240" w:h="15840"/>
      <w:pgMar w:top="1799" w:right="3735" w:bottom="993" w:left="1417"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155C0F" w14:textId="77777777" w:rsidR="006D6356" w:rsidRDefault="006D6356" w:rsidP="00BF70FE">
      <w:pPr>
        <w:spacing w:after="0" w:line="240" w:lineRule="auto"/>
      </w:pPr>
      <w:r>
        <w:separator/>
      </w:r>
    </w:p>
  </w:endnote>
  <w:endnote w:type="continuationSeparator" w:id="0">
    <w:p w14:paraId="63681D9E" w14:textId="77777777" w:rsidR="006D6356" w:rsidRDefault="006D6356" w:rsidP="00BF70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ordia New">
    <w:panose1 w:val="020B0304020202020204"/>
    <w:charset w:val="DE"/>
    <w:family w:val="swiss"/>
    <w:pitch w:val="variable"/>
    <w:sig w:usb0="81000003" w:usb1="00000000" w:usb2="00000000" w:usb3="00000000" w:csb0="00010001" w:csb1="00000000"/>
  </w:font>
  <w:font w:name="Segoe UI">
    <w:panose1 w:val="020B0604020202020204"/>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8CC3B3" w14:textId="77777777" w:rsidR="006D6356" w:rsidRDefault="006D6356" w:rsidP="00BF70FE">
      <w:pPr>
        <w:spacing w:after="0" w:line="240" w:lineRule="auto"/>
      </w:pPr>
      <w:r>
        <w:separator/>
      </w:r>
    </w:p>
  </w:footnote>
  <w:footnote w:type="continuationSeparator" w:id="0">
    <w:p w14:paraId="3DAD4391" w14:textId="77777777" w:rsidR="006D6356" w:rsidRDefault="006D6356" w:rsidP="00BF70F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049685" w14:textId="408027FF" w:rsidR="00B96701" w:rsidRDefault="00AE0EC0" w:rsidP="00E14F96">
    <w:pPr>
      <w:pStyle w:val="Kopfzeile"/>
      <w:tabs>
        <w:tab w:val="clear" w:pos="9072"/>
      </w:tabs>
      <w:ind w:right="-2551"/>
      <w:jc w:val="right"/>
    </w:pPr>
    <w:r>
      <w:rPr>
        <w:noProof/>
        <w:lang w:eastAsia="de-DE"/>
      </w:rPr>
      <w:tab/>
    </w:r>
    <w:r w:rsidR="00E14F96">
      <w:rPr>
        <w:noProof/>
        <w:lang w:eastAsia="de-DE"/>
      </w:rPr>
      <w:t xml:space="preserve">         </w:t>
    </w:r>
    <w:r w:rsidR="00E14F96">
      <w:rPr>
        <w:noProof/>
        <w:lang w:eastAsia="de-DE"/>
      </w:rPr>
      <w:tab/>
    </w:r>
    <w:r w:rsidR="00E14F96">
      <w:rPr>
        <w:noProof/>
        <w:lang w:eastAsia="de-DE"/>
      </w:rPr>
      <w:tab/>
    </w:r>
    <w:r w:rsidR="00E14F96">
      <w:rPr>
        <w:noProof/>
        <w:lang w:eastAsia="de-DE"/>
      </w:rPr>
      <w:tab/>
    </w:r>
    <w:r w:rsidR="004F0E10">
      <w:rPr>
        <w:noProof/>
        <w:lang w:eastAsia="de-DE"/>
      </w:rPr>
      <w:drawing>
        <wp:inline distT="0" distB="0" distL="0" distR="0" wp14:anchorId="5DFE89A5" wp14:editId="08F35A48">
          <wp:extent cx="2040475" cy="588245"/>
          <wp:effectExtent l="0" t="0" r="4445" b="0"/>
          <wp:docPr id="1" name="Grafik 1" descr="Ein Bild, das Text, ClipAr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descr="Ein Bild, das Text, ClipArt enthält.&#10;&#10;Automatisch generierte Beschreibung"/>
                  <pic:cNvPicPr/>
                </pic:nvPicPr>
                <pic:blipFill>
                  <a:blip r:embed="rId1"/>
                  <a:stretch>
                    <a:fillRect/>
                  </a:stretch>
                </pic:blipFill>
                <pic:spPr>
                  <a:xfrm>
                    <a:off x="0" y="0"/>
                    <a:ext cx="2083477" cy="600642"/>
                  </a:xfrm>
                  <a:prstGeom prst="rect">
                    <a:avLst/>
                  </a:prstGeom>
                </pic:spPr>
              </pic:pic>
            </a:graphicData>
          </a:graphic>
        </wp:inline>
      </w:drawing>
    </w:r>
    <w:r w:rsidR="00A201A5">
      <w:rPr>
        <w:noProof/>
        <w:lang w:eastAsia="de-DE"/>
      </w:rPr>
      <w:t xml:space="preserve"> </w:t>
    </w:r>
    <w:r w:rsidR="00A201A5">
      <w:rPr>
        <w:noProof/>
        <w:lang w:eastAsia="de-DE"/>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9443E9"/>
    <w:multiLevelType w:val="hybridMultilevel"/>
    <w:tmpl w:val="DE948948"/>
    <w:lvl w:ilvl="0" w:tplc="552AB818">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20063961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218"/>
  <w:proofState w:spelling="clean" w:grammar="clean"/>
  <w:defaultTabStop w:val="708"/>
  <w:autoHyphenation/>
  <w:hyphenationZone w:val="425"/>
  <w:doNotHyphenateCap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gnword-docGUID" w:val="{C771EB9D-59BD-4437-BD18-A675BACDF941}"/>
    <w:docVar w:name="dgnword-eventsink" w:val="316488199920"/>
  </w:docVars>
  <w:rsids>
    <w:rsidRoot w:val="00E37F9E"/>
    <w:rsid w:val="0000041E"/>
    <w:rsid w:val="00003497"/>
    <w:rsid w:val="00006AC0"/>
    <w:rsid w:val="0001276C"/>
    <w:rsid w:val="00013970"/>
    <w:rsid w:val="00026CFD"/>
    <w:rsid w:val="00037481"/>
    <w:rsid w:val="00037B8A"/>
    <w:rsid w:val="00040DBA"/>
    <w:rsid w:val="00041A6A"/>
    <w:rsid w:val="00044557"/>
    <w:rsid w:val="000541F5"/>
    <w:rsid w:val="00054244"/>
    <w:rsid w:val="0006200B"/>
    <w:rsid w:val="00065270"/>
    <w:rsid w:val="000655B7"/>
    <w:rsid w:val="0006582C"/>
    <w:rsid w:val="00065961"/>
    <w:rsid w:val="000678EA"/>
    <w:rsid w:val="0006791F"/>
    <w:rsid w:val="0007688A"/>
    <w:rsid w:val="00076CE4"/>
    <w:rsid w:val="000823CF"/>
    <w:rsid w:val="0008686C"/>
    <w:rsid w:val="00091E09"/>
    <w:rsid w:val="0009573A"/>
    <w:rsid w:val="000A0F03"/>
    <w:rsid w:val="000A1C71"/>
    <w:rsid w:val="000A1E6B"/>
    <w:rsid w:val="000A4C5E"/>
    <w:rsid w:val="000A4C93"/>
    <w:rsid w:val="000A5BF7"/>
    <w:rsid w:val="000B5BA3"/>
    <w:rsid w:val="000C2AF9"/>
    <w:rsid w:val="000C46B3"/>
    <w:rsid w:val="000C4746"/>
    <w:rsid w:val="000D4DE3"/>
    <w:rsid w:val="000E087D"/>
    <w:rsid w:val="000E11A2"/>
    <w:rsid w:val="000E7CE7"/>
    <w:rsid w:val="000F2111"/>
    <w:rsid w:val="000F4F9D"/>
    <w:rsid w:val="00101591"/>
    <w:rsid w:val="0010198B"/>
    <w:rsid w:val="00104674"/>
    <w:rsid w:val="00104719"/>
    <w:rsid w:val="00106821"/>
    <w:rsid w:val="00121300"/>
    <w:rsid w:val="00126EDD"/>
    <w:rsid w:val="00130B66"/>
    <w:rsid w:val="00131142"/>
    <w:rsid w:val="0013234F"/>
    <w:rsid w:val="00132DC4"/>
    <w:rsid w:val="00135237"/>
    <w:rsid w:val="00143BC5"/>
    <w:rsid w:val="0014450F"/>
    <w:rsid w:val="00155D50"/>
    <w:rsid w:val="00157861"/>
    <w:rsid w:val="00162140"/>
    <w:rsid w:val="001700C4"/>
    <w:rsid w:val="00170B30"/>
    <w:rsid w:val="00172009"/>
    <w:rsid w:val="00181FBB"/>
    <w:rsid w:val="001849A2"/>
    <w:rsid w:val="00187FC7"/>
    <w:rsid w:val="00194EEC"/>
    <w:rsid w:val="00196421"/>
    <w:rsid w:val="001A14A1"/>
    <w:rsid w:val="001A220F"/>
    <w:rsid w:val="001B01DF"/>
    <w:rsid w:val="001C51EC"/>
    <w:rsid w:val="001C7838"/>
    <w:rsid w:val="001D2C4D"/>
    <w:rsid w:val="001D2FB7"/>
    <w:rsid w:val="001D70AE"/>
    <w:rsid w:val="001E3CB7"/>
    <w:rsid w:val="001E6755"/>
    <w:rsid w:val="001E6F47"/>
    <w:rsid w:val="001F293E"/>
    <w:rsid w:val="0020049A"/>
    <w:rsid w:val="00205941"/>
    <w:rsid w:val="00207A9F"/>
    <w:rsid w:val="00211928"/>
    <w:rsid w:val="00213AF7"/>
    <w:rsid w:val="00221178"/>
    <w:rsid w:val="00221777"/>
    <w:rsid w:val="00233C8C"/>
    <w:rsid w:val="00235F66"/>
    <w:rsid w:val="00236787"/>
    <w:rsid w:val="00237217"/>
    <w:rsid w:val="00244E90"/>
    <w:rsid w:val="00255BB8"/>
    <w:rsid w:val="00262A08"/>
    <w:rsid w:val="00265589"/>
    <w:rsid w:val="00274204"/>
    <w:rsid w:val="002745F8"/>
    <w:rsid w:val="002757A3"/>
    <w:rsid w:val="0028558F"/>
    <w:rsid w:val="0028717A"/>
    <w:rsid w:val="002A7D5D"/>
    <w:rsid w:val="002A7E29"/>
    <w:rsid w:val="002B1340"/>
    <w:rsid w:val="002B245C"/>
    <w:rsid w:val="002B321F"/>
    <w:rsid w:val="002B36BE"/>
    <w:rsid w:val="002B3E9E"/>
    <w:rsid w:val="002B5436"/>
    <w:rsid w:val="002C01AF"/>
    <w:rsid w:val="002D5B66"/>
    <w:rsid w:val="002D6045"/>
    <w:rsid w:val="002E0481"/>
    <w:rsid w:val="002E1504"/>
    <w:rsid w:val="002E33BB"/>
    <w:rsid w:val="002E6EA0"/>
    <w:rsid w:val="002F1BFF"/>
    <w:rsid w:val="002F66DA"/>
    <w:rsid w:val="002F6E7A"/>
    <w:rsid w:val="0030091A"/>
    <w:rsid w:val="00304113"/>
    <w:rsid w:val="00304144"/>
    <w:rsid w:val="00314048"/>
    <w:rsid w:val="00315669"/>
    <w:rsid w:val="00321DE9"/>
    <w:rsid w:val="003228B7"/>
    <w:rsid w:val="003274D8"/>
    <w:rsid w:val="00341A34"/>
    <w:rsid w:val="0035048A"/>
    <w:rsid w:val="00350A47"/>
    <w:rsid w:val="0035256E"/>
    <w:rsid w:val="00362AE7"/>
    <w:rsid w:val="00394D5C"/>
    <w:rsid w:val="003953CA"/>
    <w:rsid w:val="003A2746"/>
    <w:rsid w:val="003A3B30"/>
    <w:rsid w:val="003A43CA"/>
    <w:rsid w:val="003A6602"/>
    <w:rsid w:val="003A6E32"/>
    <w:rsid w:val="003A7B0C"/>
    <w:rsid w:val="003B1A9C"/>
    <w:rsid w:val="003B4407"/>
    <w:rsid w:val="003B6004"/>
    <w:rsid w:val="003B69BD"/>
    <w:rsid w:val="003C0B6F"/>
    <w:rsid w:val="003C0FC2"/>
    <w:rsid w:val="003C12F5"/>
    <w:rsid w:val="003C475B"/>
    <w:rsid w:val="003D63AC"/>
    <w:rsid w:val="003D642E"/>
    <w:rsid w:val="003D7AC5"/>
    <w:rsid w:val="003E1E07"/>
    <w:rsid w:val="003F5618"/>
    <w:rsid w:val="003F5E46"/>
    <w:rsid w:val="00402F7C"/>
    <w:rsid w:val="00406C69"/>
    <w:rsid w:val="00406EFB"/>
    <w:rsid w:val="004112BE"/>
    <w:rsid w:val="004137FD"/>
    <w:rsid w:val="00415B45"/>
    <w:rsid w:val="00427AD2"/>
    <w:rsid w:val="004306B3"/>
    <w:rsid w:val="00437155"/>
    <w:rsid w:val="004422BD"/>
    <w:rsid w:val="004467C0"/>
    <w:rsid w:val="004540FC"/>
    <w:rsid w:val="00454989"/>
    <w:rsid w:val="00455A88"/>
    <w:rsid w:val="004574AD"/>
    <w:rsid w:val="004638B5"/>
    <w:rsid w:val="00463FE6"/>
    <w:rsid w:val="00465527"/>
    <w:rsid w:val="00465CBB"/>
    <w:rsid w:val="004713E0"/>
    <w:rsid w:val="004731DE"/>
    <w:rsid w:val="00473FBA"/>
    <w:rsid w:val="004810F6"/>
    <w:rsid w:val="00485A86"/>
    <w:rsid w:val="0049799F"/>
    <w:rsid w:val="00497AEF"/>
    <w:rsid w:val="004A425F"/>
    <w:rsid w:val="004A7502"/>
    <w:rsid w:val="004B0D7E"/>
    <w:rsid w:val="004B3A46"/>
    <w:rsid w:val="004D73D6"/>
    <w:rsid w:val="004E2673"/>
    <w:rsid w:val="004E3948"/>
    <w:rsid w:val="004E3F39"/>
    <w:rsid w:val="004E5B2F"/>
    <w:rsid w:val="004F09E6"/>
    <w:rsid w:val="004F0E10"/>
    <w:rsid w:val="004F25A7"/>
    <w:rsid w:val="004F5892"/>
    <w:rsid w:val="005048EC"/>
    <w:rsid w:val="005071AD"/>
    <w:rsid w:val="00521E6A"/>
    <w:rsid w:val="00525CC8"/>
    <w:rsid w:val="005308AD"/>
    <w:rsid w:val="005322F6"/>
    <w:rsid w:val="00532602"/>
    <w:rsid w:val="00532783"/>
    <w:rsid w:val="0053379A"/>
    <w:rsid w:val="00534D80"/>
    <w:rsid w:val="005424FE"/>
    <w:rsid w:val="00543BF4"/>
    <w:rsid w:val="00556FEE"/>
    <w:rsid w:val="005577A0"/>
    <w:rsid w:val="00557F58"/>
    <w:rsid w:val="00563754"/>
    <w:rsid w:val="00564676"/>
    <w:rsid w:val="00565D15"/>
    <w:rsid w:val="005739E1"/>
    <w:rsid w:val="00576A90"/>
    <w:rsid w:val="00576E59"/>
    <w:rsid w:val="00580F7D"/>
    <w:rsid w:val="00582ECD"/>
    <w:rsid w:val="00591D88"/>
    <w:rsid w:val="005926D7"/>
    <w:rsid w:val="005958C2"/>
    <w:rsid w:val="00596BC4"/>
    <w:rsid w:val="005B2C0D"/>
    <w:rsid w:val="005B3C72"/>
    <w:rsid w:val="005B50F1"/>
    <w:rsid w:val="005D3D1E"/>
    <w:rsid w:val="005D61BC"/>
    <w:rsid w:val="005E1591"/>
    <w:rsid w:val="005E204F"/>
    <w:rsid w:val="005F2DF5"/>
    <w:rsid w:val="005F5177"/>
    <w:rsid w:val="005F63B7"/>
    <w:rsid w:val="0060472D"/>
    <w:rsid w:val="00605163"/>
    <w:rsid w:val="00613B84"/>
    <w:rsid w:val="00630497"/>
    <w:rsid w:val="00632072"/>
    <w:rsid w:val="00633111"/>
    <w:rsid w:val="00640EED"/>
    <w:rsid w:val="00650109"/>
    <w:rsid w:val="00650F5E"/>
    <w:rsid w:val="006514AF"/>
    <w:rsid w:val="006563BE"/>
    <w:rsid w:val="00664FF9"/>
    <w:rsid w:val="006663C8"/>
    <w:rsid w:val="00666C16"/>
    <w:rsid w:val="0067331D"/>
    <w:rsid w:val="00674BD0"/>
    <w:rsid w:val="00681349"/>
    <w:rsid w:val="006824CB"/>
    <w:rsid w:val="00682686"/>
    <w:rsid w:val="00682E83"/>
    <w:rsid w:val="006847AC"/>
    <w:rsid w:val="006862AC"/>
    <w:rsid w:val="006966C5"/>
    <w:rsid w:val="006A1AAA"/>
    <w:rsid w:val="006A652B"/>
    <w:rsid w:val="006B4FEB"/>
    <w:rsid w:val="006D38DD"/>
    <w:rsid w:val="006D6356"/>
    <w:rsid w:val="006D6479"/>
    <w:rsid w:val="006E3A41"/>
    <w:rsid w:val="006E7E8E"/>
    <w:rsid w:val="006F2189"/>
    <w:rsid w:val="006F6690"/>
    <w:rsid w:val="00703D47"/>
    <w:rsid w:val="00705635"/>
    <w:rsid w:val="007068C1"/>
    <w:rsid w:val="00710978"/>
    <w:rsid w:val="00711122"/>
    <w:rsid w:val="00712F91"/>
    <w:rsid w:val="00714AB5"/>
    <w:rsid w:val="00715711"/>
    <w:rsid w:val="007162A5"/>
    <w:rsid w:val="0071697E"/>
    <w:rsid w:val="007169F8"/>
    <w:rsid w:val="007234F3"/>
    <w:rsid w:val="00726D0D"/>
    <w:rsid w:val="00732AF9"/>
    <w:rsid w:val="00732F57"/>
    <w:rsid w:val="007408FB"/>
    <w:rsid w:val="007410A9"/>
    <w:rsid w:val="00742C79"/>
    <w:rsid w:val="00743904"/>
    <w:rsid w:val="007448A8"/>
    <w:rsid w:val="00751621"/>
    <w:rsid w:val="00752985"/>
    <w:rsid w:val="00753CE4"/>
    <w:rsid w:val="007543B9"/>
    <w:rsid w:val="007568C5"/>
    <w:rsid w:val="00764363"/>
    <w:rsid w:val="00766B7A"/>
    <w:rsid w:val="007704B1"/>
    <w:rsid w:val="00770DBF"/>
    <w:rsid w:val="007749DD"/>
    <w:rsid w:val="007768B7"/>
    <w:rsid w:val="00777197"/>
    <w:rsid w:val="00780026"/>
    <w:rsid w:val="00785A83"/>
    <w:rsid w:val="00785BC8"/>
    <w:rsid w:val="007A253C"/>
    <w:rsid w:val="007B0E5E"/>
    <w:rsid w:val="007B40BC"/>
    <w:rsid w:val="007C0C1B"/>
    <w:rsid w:val="007D3F81"/>
    <w:rsid w:val="007E401A"/>
    <w:rsid w:val="007E4D6B"/>
    <w:rsid w:val="007F0DE9"/>
    <w:rsid w:val="007F32B3"/>
    <w:rsid w:val="007F3F43"/>
    <w:rsid w:val="007F45CF"/>
    <w:rsid w:val="007F4A3D"/>
    <w:rsid w:val="007F5FBA"/>
    <w:rsid w:val="00803966"/>
    <w:rsid w:val="00822F51"/>
    <w:rsid w:val="00825564"/>
    <w:rsid w:val="00825E47"/>
    <w:rsid w:val="00841C40"/>
    <w:rsid w:val="008457BE"/>
    <w:rsid w:val="00860C87"/>
    <w:rsid w:val="008627A4"/>
    <w:rsid w:val="00872E24"/>
    <w:rsid w:val="0088232C"/>
    <w:rsid w:val="00883CE3"/>
    <w:rsid w:val="0089252B"/>
    <w:rsid w:val="008956CD"/>
    <w:rsid w:val="008A484E"/>
    <w:rsid w:val="008A52B6"/>
    <w:rsid w:val="008A6550"/>
    <w:rsid w:val="008A663A"/>
    <w:rsid w:val="008B2353"/>
    <w:rsid w:val="008B464E"/>
    <w:rsid w:val="008B5FAE"/>
    <w:rsid w:val="008C3262"/>
    <w:rsid w:val="008E08D3"/>
    <w:rsid w:val="008E3944"/>
    <w:rsid w:val="008F64E2"/>
    <w:rsid w:val="00912C77"/>
    <w:rsid w:val="00915DD5"/>
    <w:rsid w:val="009225CB"/>
    <w:rsid w:val="009234F0"/>
    <w:rsid w:val="009309DD"/>
    <w:rsid w:val="00937B5E"/>
    <w:rsid w:val="0094694E"/>
    <w:rsid w:val="00947D0B"/>
    <w:rsid w:val="00953301"/>
    <w:rsid w:val="00953399"/>
    <w:rsid w:val="0095460E"/>
    <w:rsid w:val="0095777B"/>
    <w:rsid w:val="00967913"/>
    <w:rsid w:val="00970576"/>
    <w:rsid w:val="00970F02"/>
    <w:rsid w:val="00972598"/>
    <w:rsid w:val="00977634"/>
    <w:rsid w:val="0098474D"/>
    <w:rsid w:val="00993991"/>
    <w:rsid w:val="009A2BF1"/>
    <w:rsid w:val="009A5414"/>
    <w:rsid w:val="009B04A2"/>
    <w:rsid w:val="009B2F63"/>
    <w:rsid w:val="009B6FBC"/>
    <w:rsid w:val="009B7074"/>
    <w:rsid w:val="009C0CE4"/>
    <w:rsid w:val="009D4DFD"/>
    <w:rsid w:val="009E32E3"/>
    <w:rsid w:val="009E44F0"/>
    <w:rsid w:val="009E6B35"/>
    <w:rsid w:val="009F0C3D"/>
    <w:rsid w:val="009F0F94"/>
    <w:rsid w:val="00A075DD"/>
    <w:rsid w:val="00A12A50"/>
    <w:rsid w:val="00A12FF7"/>
    <w:rsid w:val="00A13DAF"/>
    <w:rsid w:val="00A1469E"/>
    <w:rsid w:val="00A201A5"/>
    <w:rsid w:val="00A22923"/>
    <w:rsid w:val="00A25183"/>
    <w:rsid w:val="00A257D2"/>
    <w:rsid w:val="00A32BA5"/>
    <w:rsid w:val="00A339B3"/>
    <w:rsid w:val="00A367E8"/>
    <w:rsid w:val="00A37435"/>
    <w:rsid w:val="00A409A1"/>
    <w:rsid w:val="00A40D7D"/>
    <w:rsid w:val="00A43049"/>
    <w:rsid w:val="00A4343F"/>
    <w:rsid w:val="00A461EC"/>
    <w:rsid w:val="00A462DC"/>
    <w:rsid w:val="00A50D16"/>
    <w:rsid w:val="00A549CB"/>
    <w:rsid w:val="00A551F1"/>
    <w:rsid w:val="00A55C3C"/>
    <w:rsid w:val="00A56E5A"/>
    <w:rsid w:val="00A71BF1"/>
    <w:rsid w:val="00A72FA1"/>
    <w:rsid w:val="00A8365C"/>
    <w:rsid w:val="00A86E2E"/>
    <w:rsid w:val="00A909F7"/>
    <w:rsid w:val="00AA41E7"/>
    <w:rsid w:val="00AA55F2"/>
    <w:rsid w:val="00AB23C8"/>
    <w:rsid w:val="00AC053B"/>
    <w:rsid w:val="00AC2478"/>
    <w:rsid w:val="00AC2BFD"/>
    <w:rsid w:val="00AC3868"/>
    <w:rsid w:val="00AC5D02"/>
    <w:rsid w:val="00AC6091"/>
    <w:rsid w:val="00AD08BE"/>
    <w:rsid w:val="00AD256F"/>
    <w:rsid w:val="00AD4250"/>
    <w:rsid w:val="00AE0DBD"/>
    <w:rsid w:val="00AE0E89"/>
    <w:rsid w:val="00AE0EC0"/>
    <w:rsid w:val="00AE22CD"/>
    <w:rsid w:val="00B001E6"/>
    <w:rsid w:val="00B11CFE"/>
    <w:rsid w:val="00B13A5F"/>
    <w:rsid w:val="00B153D5"/>
    <w:rsid w:val="00B16919"/>
    <w:rsid w:val="00B23C08"/>
    <w:rsid w:val="00B23CF9"/>
    <w:rsid w:val="00B25C51"/>
    <w:rsid w:val="00B27B9D"/>
    <w:rsid w:val="00B3624E"/>
    <w:rsid w:val="00B37700"/>
    <w:rsid w:val="00B43DB2"/>
    <w:rsid w:val="00B44741"/>
    <w:rsid w:val="00B46CF9"/>
    <w:rsid w:val="00B47F46"/>
    <w:rsid w:val="00B55BBE"/>
    <w:rsid w:val="00B57768"/>
    <w:rsid w:val="00B67EDA"/>
    <w:rsid w:val="00B71C92"/>
    <w:rsid w:val="00B753D5"/>
    <w:rsid w:val="00B819A5"/>
    <w:rsid w:val="00B82239"/>
    <w:rsid w:val="00B857E2"/>
    <w:rsid w:val="00B96701"/>
    <w:rsid w:val="00BA0B62"/>
    <w:rsid w:val="00BA0FAD"/>
    <w:rsid w:val="00BA3625"/>
    <w:rsid w:val="00BA51BE"/>
    <w:rsid w:val="00BA7304"/>
    <w:rsid w:val="00BB3C47"/>
    <w:rsid w:val="00BC042E"/>
    <w:rsid w:val="00BC1CCE"/>
    <w:rsid w:val="00BC3A66"/>
    <w:rsid w:val="00BD177C"/>
    <w:rsid w:val="00BD464F"/>
    <w:rsid w:val="00BE3481"/>
    <w:rsid w:val="00BE3C7C"/>
    <w:rsid w:val="00BF3BB4"/>
    <w:rsid w:val="00BF3DDF"/>
    <w:rsid w:val="00BF70BC"/>
    <w:rsid w:val="00BF70FE"/>
    <w:rsid w:val="00C0266F"/>
    <w:rsid w:val="00C048D9"/>
    <w:rsid w:val="00C27553"/>
    <w:rsid w:val="00C32033"/>
    <w:rsid w:val="00C3376B"/>
    <w:rsid w:val="00C41690"/>
    <w:rsid w:val="00C424EF"/>
    <w:rsid w:val="00C52268"/>
    <w:rsid w:val="00C61B5D"/>
    <w:rsid w:val="00C6235A"/>
    <w:rsid w:val="00C641A4"/>
    <w:rsid w:val="00C727E4"/>
    <w:rsid w:val="00C740FC"/>
    <w:rsid w:val="00C74157"/>
    <w:rsid w:val="00C77677"/>
    <w:rsid w:val="00C82FEA"/>
    <w:rsid w:val="00C84CCA"/>
    <w:rsid w:val="00C90B7B"/>
    <w:rsid w:val="00C91823"/>
    <w:rsid w:val="00CA7284"/>
    <w:rsid w:val="00CB2102"/>
    <w:rsid w:val="00CB3800"/>
    <w:rsid w:val="00CB4314"/>
    <w:rsid w:val="00CC44E9"/>
    <w:rsid w:val="00CC4D60"/>
    <w:rsid w:val="00CD3EF6"/>
    <w:rsid w:val="00CD417B"/>
    <w:rsid w:val="00CD490F"/>
    <w:rsid w:val="00CD5183"/>
    <w:rsid w:val="00CE391E"/>
    <w:rsid w:val="00CF04AC"/>
    <w:rsid w:val="00CF1E1B"/>
    <w:rsid w:val="00CF3ACA"/>
    <w:rsid w:val="00D0005C"/>
    <w:rsid w:val="00D02991"/>
    <w:rsid w:val="00D1662C"/>
    <w:rsid w:val="00D16EBD"/>
    <w:rsid w:val="00D20803"/>
    <w:rsid w:val="00D2582F"/>
    <w:rsid w:val="00D27A64"/>
    <w:rsid w:val="00D429BE"/>
    <w:rsid w:val="00D45085"/>
    <w:rsid w:val="00D45EBD"/>
    <w:rsid w:val="00D46770"/>
    <w:rsid w:val="00D52A64"/>
    <w:rsid w:val="00D572B9"/>
    <w:rsid w:val="00D61E26"/>
    <w:rsid w:val="00D63982"/>
    <w:rsid w:val="00D64707"/>
    <w:rsid w:val="00D7666E"/>
    <w:rsid w:val="00D83DBA"/>
    <w:rsid w:val="00D8580C"/>
    <w:rsid w:val="00D859A0"/>
    <w:rsid w:val="00D85B12"/>
    <w:rsid w:val="00D923E2"/>
    <w:rsid w:val="00D970E0"/>
    <w:rsid w:val="00D9728A"/>
    <w:rsid w:val="00DA183D"/>
    <w:rsid w:val="00DA26CC"/>
    <w:rsid w:val="00DB7E36"/>
    <w:rsid w:val="00DC1341"/>
    <w:rsid w:val="00DC1532"/>
    <w:rsid w:val="00DC2EE2"/>
    <w:rsid w:val="00DC3629"/>
    <w:rsid w:val="00DC7658"/>
    <w:rsid w:val="00DD0093"/>
    <w:rsid w:val="00DD349E"/>
    <w:rsid w:val="00DE0A90"/>
    <w:rsid w:val="00DE2B22"/>
    <w:rsid w:val="00DE4605"/>
    <w:rsid w:val="00DE6377"/>
    <w:rsid w:val="00DF3864"/>
    <w:rsid w:val="00DF581E"/>
    <w:rsid w:val="00E029F9"/>
    <w:rsid w:val="00E14982"/>
    <w:rsid w:val="00E14F96"/>
    <w:rsid w:val="00E20A29"/>
    <w:rsid w:val="00E230D4"/>
    <w:rsid w:val="00E230E2"/>
    <w:rsid w:val="00E26A43"/>
    <w:rsid w:val="00E26B5E"/>
    <w:rsid w:val="00E3135E"/>
    <w:rsid w:val="00E37AB8"/>
    <w:rsid w:val="00E37F9E"/>
    <w:rsid w:val="00E40C42"/>
    <w:rsid w:val="00E40FB7"/>
    <w:rsid w:val="00E478B7"/>
    <w:rsid w:val="00E554C7"/>
    <w:rsid w:val="00E56401"/>
    <w:rsid w:val="00E56500"/>
    <w:rsid w:val="00E570C4"/>
    <w:rsid w:val="00E60782"/>
    <w:rsid w:val="00E60990"/>
    <w:rsid w:val="00E6120F"/>
    <w:rsid w:val="00E62D7E"/>
    <w:rsid w:val="00E64CFD"/>
    <w:rsid w:val="00E66715"/>
    <w:rsid w:val="00E67610"/>
    <w:rsid w:val="00E704E3"/>
    <w:rsid w:val="00E73FD3"/>
    <w:rsid w:val="00E74375"/>
    <w:rsid w:val="00E77A35"/>
    <w:rsid w:val="00E833E9"/>
    <w:rsid w:val="00E835B3"/>
    <w:rsid w:val="00E92706"/>
    <w:rsid w:val="00E95A39"/>
    <w:rsid w:val="00E960D2"/>
    <w:rsid w:val="00E96682"/>
    <w:rsid w:val="00EA337B"/>
    <w:rsid w:val="00EB3069"/>
    <w:rsid w:val="00EB5442"/>
    <w:rsid w:val="00EB6A45"/>
    <w:rsid w:val="00EC0FE2"/>
    <w:rsid w:val="00EC4040"/>
    <w:rsid w:val="00EC65A1"/>
    <w:rsid w:val="00EC7E20"/>
    <w:rsid w:val="00ED24D7"/>
    <w:rsid w:val="00ED3254"/>
    <w:rsid w:val="00ED48B5"/>
    <w:rsid w:val="00EE0D3C"/>
    <w:rsid w:val="00EE47A7"/>
    <w:rsid w:val="00EE7E7C"/>
    <w:rsid w:val="00EF4362"/>
    <w:rsid w:val="00EF500E"/>
    <w:rsid w:val="00EF7E0B"/>
    <w:rsid w:val="00F0224E"/>
    <w:rsid w:val="00F02294"/>
    <w:rsid w:val="00F05E79"/>
    <w:rsid w:val="00F139FA"/>
    <w:rsid w:val="00F152A7"/>
    <w:rsid w:val="00F17F2A"/>
    <w:rsid w:val="00F25235"/>
    <w:rsid w:val="00F25E8D"/>
    <w:rsid w:val="00F36DE3"/>
    <w:rsid w:val="00F40E03"/>
    <w:rsid w:val="00F4188B"/>
    <w:rsid w:val="00F45322"/>
    <w:rsid w:val="00F469CA"/>
    <w:rsid w:val="00F60AEE"/>
    <w:rsid w:val="00F61423"/>
    <w:rsid w:val="00F62891"/>
    <w:rsid w:val="00F6520C"/>
    <w:rsid w:val="00F66C89"/>
    <w:rsid w:val="00F66CAF"/>
    <w:rsid w:val="00F80BB7"/>
    <w:rsid w:val="00F875B4"/>
    <w:rsid w:val="00F91B9F"/>
    <w:rsid w:val="00F93B14"/>
    <w:rsid w:val="00F94262"/>
    <w:rsid w:val="00F94264"/>
    <w:rsid w:val="00F965C4"/>
    <w:rsid w:val="00FA18A4"/>
    <w:rsid w:val="00FA2217"/>
    <w:rsid w:val="00FA5332"/>
    <w:rsid w:val="00FB447B"/>
    <w:rsid w:val="00FB53D9"/>
    <w:rsid w:val="00FB68F7"/>
    <w:rsid w:val="00FD6613"/>
    <w:rsid w:val="00FE1AA1"/>
    <w:rsid w:val="00FE2E90"/>
    <w:rsid w:val="00FE30BE"/>
    <w:rsid w:val="00FE4B3C"/>
    <w:rsid w:val="00FF125B"/>
  </w:rsids>
  <m:mathPr>
    <m:mathFont m:val="Cambria Math"/>
    <m:brkBin m:val="before"/>
    <m:brkBinSub m:val="--"/>
    <m:smallFrac m:val="0"/>
    <m:dispDef/>
    <m:lMargin m:val="0"/>
    <m:rMargin m:val="0"/>
    <m:defJc m:val="centerGroup"/>
    <m:wrapIndent m:val="1440"/>
    <m:intLim m:val="subSup"/>
    <m:naryLim m:val="undOvr"/>
  </m:mathPr>
  <w:themeFontLang w:val="de-DE" w:eastAsia="ja-JP" w:bidi="th-TH"/>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6DFBD88"/>
  <w15:docId w15:val="{747D9F12-AC28-2243-9B62-370EBB3D04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F91B9F"/>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Fett">
    <w:name w:val="Strong"/>
    <w:basedOn w:val="Absatz-Standardschriftart"/>
    <w:uiPriority w:val="22"/>
    <w:qFormat/>
    <w:rsid w:val="00557F58"/>
    <w:rPr>
      <w:b/>
      <w:bCs/>
    </w:rPr>
  </w:style>
  <w:style w:type="paragraph" w:styleId="Listenabsatz">
    <w:name w:val="List Paragraph"/>
    <w:basedOn w:val="Standard"/>
    <w:uiPriority w:val="34"/>
    <w:qFormat/>
    <w:rsid w:val="00104674"/>
    <w:pPr>
      <w:ind w:left="720"/>
      <w:contextualSpacing/>
    </w:pPr>
  </w:style>
  <w:style w:type="character" w:styleId="Hyperlink">
    <w:name w:val="Hyperlink"/>
    <w:basedOn w:val="Absatz-Standardschriftart"/>
    <w:uiPriority w:val="99"/>
    <w:unhideWhenUsed/>
    <w:rsid w:val="00463FE6"/>
    <w:rPr>
      <w:color w:val="0563C1" w:themeColor="hyperlink"/>
      <w:u w:val="single"/>
    </w:rPr>
  </w:style>
  <w:style w:type="paragraph" w:styleId="Kopfzeile">
    <w:name w:val="header"/>
    <w:basedOn w:val="Standard"/>
    <w:link w:val="KopfzeileZchn"/>
    <w:uiPriority w:val="99"/>
    <w:unhideWhenUsed/>
    <w:rsid w:val="00BF70FE"/>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BF70FE"/>
  </w:style>
  <w:style w:type="paragraph" w:styleId="Fuzeile">
    <w:name w:val="footer"/>
    <w:basedOn w:val="Standard"/>
    <w:link w:val="FuzeileZchn"/>
    <w:uiPriority w:val="99"/>
    <w:unhideWhenUsed/>
    <w:rsid w:val="00BF70FE"/>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BF70FE"/>
  </w:style>
  <w:style w:type="paragraph" w:styleId="Sprechblasentext">
    <w:name w:val="Balloon Text"/>
    <w:basedOn w:val="Standard"/>
    <w:link w:val="SprechblasentextZchn"/>
    <w:uiPriority w:val="99"/>
    <w:semiHidden/>
    <w:unhideWhenUsed/>
    <w:rsid w:val="00BF70FE"/>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BF70FE"/>
    <w:rPr>
      <w:rFonts w:ascii="Segoe UI" w:hAnsi="Segoe UI" w:cs="Segoe UI"/>
      <w:sz w:val="18"/>
      <w:szCs w:val="18"/>
    </w:rPr>
  </w:style>
  <w:style w:type="character" w:styleId="BesuchterLink">
    <w:name w:val="FollowedHyperlink"/>
    <w:basedOn w:val="Absatz-Standardschriftart"/>
    <w:uiPriority w:val="99"/>
    <w:semiHidden/>
    <w:unhideWhenUsed/>
    <w:rsid w:val="00CD3EF6"/>
    <w:rPr>
      <w:color w:val="954F72" w:themeColor="followedHyperlink"/>
      <w:u w:val="single"/>
    </w:rPr>
  </w:style>
  <w:style w:type="character" w:styleId="NichtaufgelsteErwhnung">
    <w:name w:val="Unresolved Mention"/>
    <w:basedOn w:val="Absatz-Standardschriftart"/>
    <w:uiPriority w:val="99"/>
    <w:semiHidden/>
    <w:unhideWhenUsed/>
    <w:rsid w:val="007749DD"/>
    <w:rPr>
      <w:color w:val="605E5C"/>
      <w:shd w:val="clear" w:color="auto" w:fill="E1DFDD"/>
    </w:rPr>
  </w:style>
  <w:style w:type="paragraph" w:styleId="StandardWeb">
    <w:name w:val="Normal (Web)"/>
    <w:basedOn w:val="Standard"/>
    <w:uiPriority w:val="99"/>
    <w:semiHidden/>
    <w:unhideWhenUsed/>
    <w:rsid w:val="00F91B9F"/>
    <w:pPr>
      <w:spacing w:before="100" w:beforeAutospacing="1" w:after="100" w:afterAutospacing="1" w:line="240" w:lineRule="auto"/>
    </w:pPr>
    <w:rPr>
      <w:rFonts w:ascii="Times New Roman" w:eastAsia="Times New Roman" w:hAnsi="Times New Roman" w:cs="Times New Roman"/>
      <w:sz w:val="24"/>
      <w:szCs w:val="24"/>
      <w:lang w:eastAsia="de-DE" w:bidi="th-TH"/>
    </w:rPr>
  </w:style>
  <w:style w:type="character" w:styleId="Kommentarzeichen">
    <w:name w:val="annotation reference"/>
    <w:basedOn w:val="Absatz-Standardschriftart"/>
    <w:uiPriority w:val="99"/>
    <w:semiHidden/>
    <w:unhideWhenUsed/>
    <w:rsid w:val="005D3D1E"/>
    <w:rPr>
      <w:sz w:val="16"/>
      <w:szCs w:val="16"/>
    </w:rPr>
  </w:style>
  <w:style w:type="paragraph" w:styleId="Kommentartext">
    <w:name w:val="annotation text"/>
    <w:basedOn w:val="Standard"/>
    <w:link w:val="KommentartextZchn"/>
    <w:uiPriority w:val="99"/>
    <w:semiHidden/>
    <w:unhideWhenUsed/>
    <w:rsid w:val="005D3D1E"/>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5D3D1E"/>
    <w:rPr>
      <w:sz w:val="20"/>
      <w:szCs w:val="20"/>
    </w:rPr>
  </w:style>
  <w:style w:type="paragraph" w:styleId="Kommentarthema">
    <w:name w:val="annotation subject"/>
    <w:basedOn w:val="Kommentartext"/>
    <w:next w:val="Kommentartext"/>
    <w:link w:val="KommentarthemaZchn"/>
    <w:uiPriority w:val="99"/>
    <w:semiHidden/>
    <w:unhideWhenUsed/>
    <w:rsid w:val="000E11A2"/>
    <w:rPr>
      <w:b/>
      <w:bCs/>
    </w:rPr>
  </w:style>
  <w:style w:type="character" w:customStyle="1" w:styleId="KommentarthemaZchn">
    <w:name w:val="Kommentarthema Zchn"/>
    <w:basedOn w:val="KommentartextZchn"/>
    <w:link w:val="Kommentarthema"/>
    <w:uiPriority w:val="99"/>
    <w:semiHidden/>
    <w:rsid w:val="000E11A2"/>
    <w:rPr>
      <w:b/>
      <w:bCs/>
      <w:sz w:val="20"/>
      <w:szCs w:val="20"/>
    </w:rPr>
  </w:style>
  <w:style w:type="paragraph" w:styleId="berarbeitung">
    <w:name w:val="Revision"/>
    <w:hidden/>
    <w:uiPriority w:val="99"/>
    <w:semiHidden/>
    <w:rsid w:val="005739E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5592262">
      <w:bodyDiv w:val="1"/>
      <w:marLeft w:val="0"/>
      <w:marRight w:val="0"/>
      <w:marTop w:val="0"/>
      <w:marBottom w:val="0"/>
      <w:divBdr>
        <w:top w:val="none" w:sz="0" w:space="0" w:color="auto"/>
        <w:left w:val="none" w:sz="0" w:space="0" w:color="auto"/>
        <w:bottom w:val="none" w:sz="0" w:space="0" w:color="auto"/>
        <w:right w:val="none" w:sz="0" w:space="0" w:color="auto"/>
      </w:divBdr>
    </w:div>
    <w:div w:id="106244142">
      <w:bodyDiv w:val="1"/>
      <w:marLeft w:val="0"/>
      <w:marRight w:val="0"/>
      <w:marTop w:val="0"/>
      <w:marBottom w:val="0"/>
      <w:divBdr>
        <w:top w:val="none" w:sz="0" w:space="0" w:color="auto"/>
        <w:left w:val="none" w:sz="0" w:space="0" w:color="auto"/>
        <w:bottom w:val="none" w:sz="0" w:space="0" w:color="auto"/>
        <w:right w:val="none" w:sz="0" w:space="0" w:color="auto"/>
      </w:divBdr>
    </w:div>
    <w:div w:id="108470636">
      <w:bodyDiv w:val="1"/>
      <w:marLeft w:val="0"/>
      <w:marRight w:val="0"/>
      <w:marTop w:val="0"/>
      <w:marBottom w:val="0"/>
      <w:divBdr>
        <w:top w:val="none" w:sz="0" w:space="0" w:color="auto"/>
        <w:left w:val="none" w:sz="0" w:space="0" w:color="auto"/>
        <w:bottom w:val="none" w:sz="0" w:space="0" w:color="auto"/>
        <w:right w:val="none" w:sz="0" w:space="0" w:color="auto"/>
      </w:divBdr>
      <w:divsChild>
        <w:div w:id="77636603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96825560">
              <w:marLeft w:val="0"/>
              <w:marRight w:val="0"/>
              <w:marTop w:val="0"/>
              <w:marBottom w:val="0"/>
              <w:divBdr>
                <w:top w:val="none" w:sz="0" w:space="0" w:color="auto"/>
                <w:left w:val="none" w:sz="0" w:space="0" w:color="auto"/>
                <w:bottom w:val="none" w:sz="0" w:space="0" w:color="auto"/>
                <w:right w:val="none" w:sz="0" w:space="0" w:color="auto"/>
              </w:divBdr>
              <w:divsChild>
                <w:div w:id="1101535657">
                  <w:marLeft w:val="0"/>
                  <w:marRight w:val="0"/>
                  <w:marTop w:val="0"/>
                  <w:marBottom w:val="0"/>
                  <w:divBdr>
                    <w:top w:val="none" w:sz="0" w:space="0" w:color="auto"/>
                    <w:left w:val="none" w:sz="0" w:space="0" w:color="auto"/>
                    <w:bottom w:val="none" w:sz="0" w:space="0" w:color="auto"/>
                    <w:right w:val="none" w:sz="0" w:space="0" w:color="auto"/>
                  </w:divBdr>
                  <w:divsChild>
                    <w:div w:id="34775979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86236084">
                          <w:marLeft w:val="0"/>
                          <w:marRight w:val="0"/>
                          <w:marTop w:val="0"/>
                          <w:marBottom w:val="0"/>
                          <w:divBdr>
                            <w:top w:val="none" w:sz="0" w:space="0" w:color="auto"/>
                            <w:left w:val="none" w:sz="0" w:space="0" w:color="auto"/>
                            <w:bottom w:val="none" w:sz="0" w:space="0" w:color="auto"/>
                            <w:right w:val="none" w:sz="0" w:space="0" w:color="auto"/>
                          </w:divBdr>
                          <w:divsChild>
                            <w:div w:id="395325826">
                              <w:marLeft w:val="0"/>
                              <w:marRight w:val="0"/>
                              <w:marTop w:val="0"/>
                              <w:marBottom w:val="0"/>
                              <w:divBdr>
                                <w:top w:val="none" w:sz="0" w:space="0" w:color="auto"/>
                                <w:left w:val="none" w:sz="0" w:space="0" w:color="auto"/>
                                <w:bottom w:val="none" w:sz="0" w:space="0" w:color="auto"/>
                                <w:right w:val="none" w:sz="0" w:space="0" w:color="auto"/>
                              </w:divBdr>
                              <w:divsChild>
                                <w:div w:id="41074201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25096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4106804">
      <w:bodyDiv w:val="1"/>
      <w:marLeft w:val="0"/>
      <w:marRight w:val="0"/>
      <w:marTop w:val="0"/>
      <w:marBottom w:val="0"/>
      <w:divBdr>
        <w:top w:val="none" w:sz="0" w:space="0" w:color="auto"/>
        <w:left w:val="none" w:sz="0" w:space="0" w:color="auto"/>
        <w:bottom w:val="none" w:sz="0" w:space="0" w:color="auto"/>
        <w:right w:val="none" w:sz="0" w:space="0" w:color="auto"/>
      </w:divBdr>
    </w:div>
    <w:div w:id="149293504">
      <w:bodyDiv w:val="1"/>
      <w:marLeft w:val="0"/>
      <w:marRight w:val="0"/>
      <w:marTop w:val="0"/>
      <w:marBottom w:val="0"/>
      <w:divBdr>
        <w:top w:val="none" w:sz="0" w:space="0" w:color="auto"/>
        <w:left w:val="none" w:sz="0" w:space="0" w:color="auto"/>
        <w:bottom w:val="none" w:sz="0" w:space="0" w:color="auto"/>
        <w:right w:val="none" w:sz="0" w:space="0" w:color="auto"/>
      </w:divBdr>
    </w:div>
    <w:div w:id="171262177">
      <w:bodyDiv w:val="1"/>
      <w:marLeft w:val="0"/>
      <w:marRight w:val="0"/>
      <w:marTop w:val="0"/>
      <w:marBottom w:val="0"/>
      <w:divBdr>
        <w:top w:val="none" w:sz="0" w:space="0" w:color="auto"/>
        <w:left w:val="none" w:sz="0" w:space="0" w:color="auto"/>
        <w:bottom w:val="none" w:sz="0" w:space="0" w:color="auto"/>
        <w:right w:val="none" w:sz="0" w:space="0" w:color="auto"/>
      </w:divBdr>
    </w:div>
    <w:div w:id="180096416">
      <w:bodyDiv w:val="1"/>
      <w:marLeft w:val="0"/>
      <w:marRight w:val="0"/>
      <w:marTop w:val="0"/>
      <w:marBottom w:val="0"/>
      <w:divBdr>
        <w:top w:val="none" w:sz="0" w:space="0" w:color="auto"/>
        <w:left w:val="none" w:sz="0" w:space="0" w:color="auto"/>
        <w:bottom w:val="none" w:sz="0" w:space="0" w:color="auto"/>
        <w:right w:val="none" w:sz="0" w:space="0" w:color="auto"/>
      </w:divBdr>
    </w:div>
    <w:div w:id="200752805">
      <w:bodyDiv w:val="1"/>
      <w:marLeft w:val="0"/>
      <w:marRight w:val="0"/>
      <w:marTop w:val="0"/>
      <w:marBottom w:val="0"/>
      <w:divBdr>
        <w:top w:val="none" w:sz="0" w:space="0" w:color="auto"/>
        <w:left w:val="none" w:sz="0" w:space="0" w:color="auto"/>
        <w:bottom w:val="none" w:sz="0" w:space="0" w:color="auto"/>
        <w:right w:val="none" w:sz="0" w:space="0" w:color="auto"/>
      </w:divBdr>
    </w:div>
    <w:div w:id="203105787">
      <w:bodyDiv w:val="1"/>
      <w:marLeft w:val="0"/>
      <w:marRight w:val="0"/>
      <w:marTop w:val="0"/>
      <w:marBottom w:val="0"/>
      <w:divBdr>
        <w:top w:val="none" w:sz="0" w:space="0" w:color="auto"/>
        <w:left w:val="none" w:sz="0" w:space="0" w:color="auto"/>
        <w:bottom w:val="none" w:sz="0" w:space="0" w:color="auto"/>
        <w:right w:val="none" w:sz="0" w:space="0" w:color="auto"/>
      </w:divBdr>
    </w:div>
    <w:div w:id="205217363">
      <w:bodyDiv w:val="1"/>
      <w:marLeft w:val="0"/>
      <w:marRight w:val="0"/>
      <w:marTop w:val="0"/>
      <w:marBottom w:val="0"/>
      <w:divBdr>
        <w:top w:val="none" w:sz="0" w:space="0" w:color="auto"/>
        <w:left w:val="none" w:sz="0" w:space="0" w:color="auto"/>
        <w:bottom w:val="none" w:sz="0" w:space="0" w:color="auto"/>
        <w:right w:val="none" w:sz="0" w:space="0" w:color="auto"/>
      </w:divBdr>
    </w:div>
    <w:div w:id="222758931">
      <w:bodyDiv w:val="1"/>
      <w:marLeft w:val="0"/>
      <w:marRight w:val="0"/>
      <w:marTop w:val="0"/>
      <w:marBottom w:val="0"/>
      <w:divBdr>
        <w:top w:val="none" w:sz="0" w:space="0" w:color="auto"/>
        <w:left w:val="none" w:sz="0" w:space="0" w:color="auto"/>
        <w:bottom w:val="none" w:sz="0" w:space="0" w:color="auto"/>
        <w:right w:val="none" w:sz="0" w:space="0" w:color="auto"/>
      </w:divBdr>
    </w:div>
    <w:div w:id="345861689">
      <w:bodyDiv w:val="1"/>
      <w:marLeft w:val="0"/>
      <w:marRight w:val="0"/>
      <w:marTop w:val="0"/>
      <w:marBottom w:val="0"/>
      <w:divBdr>
        <w:top w:val="none" w:sz="0" w:space="0" w:color="auto"/>
        <w:left w:val="none" w:sz="0" w:space="0" w:color="auto"/>
        <w:bottom w:val="none" w:sz="0" w:space="0" w:color="auto"/>
        <w:right w:val="none" w:sz="0" w:space="0" w:color="auto"/>
      </w:divBdr>
    </w:div>
    <w:div w:id="379326713">
      <w:bodyDiv w:val="1"/>
      <w:marLeft w:val="0"/>
      <w:marRight w:val="0"/>
      <w:marTop w:val="0"/>
      <w:marBottom w:val="0"/>
      <w:divBdr>
        <w:top w:val="none" w:sz="0" w:space="0" w:color="auto"/>
        <w:left w:val="none" w:sz="0" w:space="0" w:color="auto"/>
        <w:bottom w:val="none" w:sz="0" w:space="0" w:color="auto"/>
        <w:right w:val="none" w:sz="0" w:space="0" w:color="auto"/>
      </w:divBdr>
    </w:div>
    <w:div w:id="411120986">
      <w:bodyDiv w:val="1"/>
      <w:marLeft w:val="0"/>
      <w:marRight w:val="0"/>
      <w:marTop w:val="0"/>
      <w:marBottom w:val="0"/>
      <w:divBdr>
        <w:top w:val="none" w:sz="0" w:space="0" w:color="auto"/>
        <w:left w:val="none" w:sz="0" w:space="0" w:color="auto"/>
        <w:bottom w:val="none" w:sz="0" w:space="0" w:color="auto"/>
        <w:right w:val="none" w:sz="0" w:space="0" w:color="auto"/>
      </w:divBdr>
    </w:div>
    <w:div w:id="450394519">
      <w:bodyDiv w:val="1"/>
      <w:marLeft w:val="0"/>
      <w:marRight w:val="0"/>
      <w:marTop w:val="0"/>
      <w:marBottom w:val="0"/>
      <w:divBdr>
        <w:top w:val="none" w:sz="0" w:space="0" w:color="auto"/>
        <w:left w:val="none" w:sz="0" w:space="0" w:color="auto"/>
        <w:bottom w:val="none" w:sz="0" w:space="0" w:color="auto"/>
        <w:right w:val="none" w:sz="0" w:space="0" w:color="auto"/>
      </w:divBdr>
    </w:div>
    <w:div w:id="470489490">
      <w:bodyDiv w:val="1"/>
      <w:marLeft w:val="0"/>
      <w:marRight w:val="0"/>
      <w:marTop w:val="0"/>
      <w:marBottom w:val="0"/>
      <w:divBdr>
        <w:top w:val="none" w:sz="0" w:space="0" w:color="auto"/>
        <w:left w:val="none" w:sz="0" w:space="0" w:color="auto"/>
        <w:bottom w:val="none" w:sz="0" w:space="0" w:color="auto"/>
        <w:right w:val="none" w:sz="0" w:space="0" w:color="auto"/>
      </w:divBdr>
    </w:div>
    <w:div w:id="507604191">
      <w:bodyDiv w:val="1"/>
      <w:marLeft w:val="0"/>
      <w:marRight w:val="0"/>
      <w:marTop w:val="0"/>
      <w:marBottom w:val="0"/>
      <w:divBdr>
        <w:top w:val="none" w:sz="0" w:space="0" w:color="auto"/>
        <w:left w:val="none" w:sz="0" w:space="0" w:color="auto"/>
        <w:bottom w:val="none" w:sz="0" w:space="0" w:color="auto"/>
        <w:right w:val="none" w:sz="0" w:space="0" w:color="auto"/>
      </w:divBdr>
    </w:div>
    <w:div w:id="516384029">
      <w:bodyDiv w:val="1"/>
      <w:marLeft w:val="0"/>
      <w:marRight w:val="0"/>
      <w:marTop w:val="0"/>
      <w:marBottom w:val="0"/>
      <w:divBdr>
        <w:top w:val="none" w:sz="0" w:space="0" w:color="auto"/>
        <w:left w:val="none" w:sz="0" w:space="0" w:color="auto"/>
        <w:bottom w:val="none" w:sz="0" w:space="0" w:color="auto"/>
        <w:right w:val="none" w:sz="0" w:space="0" w:color="auto"/>
      </w:divBdr>
    </w:div>
    <w:div w:id="543949637">
      <w:bodyDiv w:val="1"/>
      <w:marLeft w:val="0"/>
      <w:marRight w:val="0"/>
      <w:marTop w:val="0"/>
      <w:marBottom w:val="0"/>
      <w:divBdr>
        <w:top w:val="none" w:sz="0" w:space="0" w:color="auto"/>
        <w:left w:val="none" w:sz="0" w:space="0" w:color="auto"/>
        <w:bottom w:val="none" w:sz="0" w:space="0" w:color="auto"/>
        <w:right w:val="none" w:sz="0" w:space="0" w:color="auto"/>
      </w:divBdr>
    </w:div>
    <w:div w:id="568810888">
      <w:bodyDiv w:val="1"/>
      <w:marLeft w:val="0"/>
      <w:marRight w:val="0"/>
      <w:marTop w:val="0"/>
      <w:marBottom w:val="0"/>
      <w:divBdr>
        <w:top w:val="none" w:sz="0" w:space="0" w:color="auto"/>
        <w:left w:val="none" w:sz="0" w:space="0" w:color="auto"/>
        <w:bottom w:val="none" w:sz="0" w:space="0" w:color="auto"/>
        <w:right w:val="none" w:sz="0" w:space="0" w:color="auto"/>
      </w:divBdr>
    </w:div>
    <w:div w:id="621350576">
      <w:bodyDiv w:val="1"/>
      <w:marLeft w:val="0"/>
      <w:marRight w:val="0"/>
      <w:marTop w:val="0"/>
      <w:marBottom w:val="0"/>
      <w:divBdr>
        <w:top w:val="none" w:sz="0" w:space="0" w:color="auto"/>
        <w:left w:val="none" w:sz="0" w:space="0" w:color="auto"/>
        <w:bottom w:val="none" w:sz="0" w:space="0" w:color="auto"/>
        <w:right w:val="none" w:sz="0" w:space="0" w:color="auto"/>
      </w:divBdr>
    </w:div>
    <w:div w:id="672610325">
      <w:bodyDiv w:val="1"/>
      <w:marLeft w:val="0"/>
      <w:marRight w:val="0"/>
      <w:marTop w:val="0"/>
      <w:marBottom w:val="0"/>
      <w:divBdr>
        <w:top w:val="none" w:sz="0" w:space="0" w:color="auto"/>
        <w:left w:val="none" w:sz="0" w:space="0" w:color="auto"/>
        <w:bottom w:val="none" w:sz="0" w:space="0" w:color="auto"/>
        <w:right w:val="none" w:sz="0" w:space="0" w:color="auto"/>
      </w:divBdr>
    </w:div>
    <w:div w:id="691615086">
      <w:bodyDiv w:val="1"/>
      <w:marLeft w:val="0"/>
      <w:marRight w:val="0"/>
      <w:marTop w:val="0"/>
      <w:marBottom w:val="0"/>
      <w:divBdr>
        <w:top w:val="none" w:sz="0" w:space="0" w:color="auto"/>
        <w:left w:val="none" w:sz="0" w:space="0" w:color="auto"/>
        <w:bottom w:val="none" w:sz="0" w:space="0" w:color="auto"/>
        <w:right w:val="none" w:sz="0" w:space="0" w:color="auto"/>
      </w:divBdr>
    </w:div>
    <w:div w:id="725682862">
      <w:bodyDiv w:val="1"/>
      <w:marLeft w:val="0"/>
      <w:marRight w:val="0"/>
      <w:marTop w:val="0"/>
      <w:marBottom w:val="0"/>
      <w:divBdr>
        <w:top w:val="none" w:sz="0" w:space="0" w:color="auto"/>
        <w:left w:val="none" w:sz="0" w:space="0" w:color="auto"/>
        <w:bottom w:val="none" w:sz="0" w:space="0" w:color="auto"/>
        <w:right w:val="none" w:sz="0" w:space="0" w:color="auto"/>
      </w:divBdr>
    </w:div>
    <w:div w:id="762531500">
      <w:bodyDiv w:val="1"/>
      <w:marLeft w:val="0"/>
      <w:marRight w:val="0"/>
      <w:marTop w:val="0"/>
      <w:marBottom w:val="0"/>
      <w:divBdr>
        <w:top w:val="none" w:sz="0" w:space="0" w:color="auto"/>
        <w:left w:val="none" w:sz="0" w:space="0" w:color="auto"/>
        <w:bottom w:val="none" w:sz="0" w:space="0" w:color="auto"/>
        <w:right w:val="none" w:sz="0" w:space="0" w:color="auto"/>
      </w:divBdr>
    </w:div>
    <w:div w:id="793525654">
      <w:bodyDiv w:val="1"/>
      <w:marLeft w:val="0"/>
      <w:marRight w:val="0"/>
      <w:marTop w:val="0"/>
      <w:marBottom w:val="0"/>
      <w:divBdr>
        <w:top w:val="none" w:sz="0" w:space="0" w:color="auto"/>
        <w:left w:val="none" w:sz="0" w:space="0" w:color="auto"/>
        <w:bottom w:val="none" w:sz="0" w:space="0" w:color="auto"/>
        <w:right w:val="none" w:sz="0" w:space="0" w:color="auto"/>
      </w:divBdr>
    </w:div>
    <w:div w:id="799493880">
      <w:bodyDiv w:val="1"/>
      <w:marLeft w:val="0"/>
      <w:marRight w:val="0"/>
      <w:marTop w:val="0"/>
      <w:marBottom w:val="0"/>
      <w:divBdr>
        <w:top w:val="none" w:sz="0" w:space="0" w:color="auto"/>
        <w:left w:val="none" w:sz="0" w:space="0" w:color="auto"/>
        <w:bottom w:val="none" w:sz="0" w:space="0" w:color="auto"/>
        <w:right w:val="none" w:sz="0" w:space="0" w:color="auto"/>
      </w:divBdr>
    </w:div>
    <w:div w:id="800197441">
      <w:bodyDiv w:val="1"/>
      <w:marLeft w:val="0"/>
      <w:marRight w:val="0"/>
      <w:marTop w:val="0"/>
      <w:marBottom w:val="0"/>
      <w:divBdr>
        <w:top w:val="none" w:sz="0" w:space="0" w:color="auto"/>
        <w:left w:val="none" w:sz="0" w:space="0" w:color="auto"/>
        <w:bottom w:val="none" w:sz="0" w:space="0" w:color="auto"/>
        <w:right w:val="none" w:sz="0" w:space="0" w:color="auto"/>
      </w:divBdr>
    </w:div>
    <w:div w:id="814370231">
      <w:bodyDiv w:val="1"/>
      <w:marLeft w:val="0"/>
      <w:marRight w:val="0"/>
      <w:marTop w:val="0"/>
      <w:marBottom w:val="0"/>
      <w:divBdr>
        <w:top w:val="none" w:sz="0" w:space="0" w:color="auto"/>
        <w:left w:val="none" w:sz="0" w:space="0" w:color="auto"/>
        <w:bottom w:val="none" w:sz="0" w:space="0" w:color="auto"/>
        <w:right w:val="none" w:sz="0" w:space="0" w:color="auto"/>
      </w:divBdr>
    </w:div>
    <w:div w:id="838083643">
      <w:bodyDiv w:val="1"/>
      <w:marLeft w:val="0"/>
      <w:marRight w:val="0"/>
      <w:marTop w:val="0"/>
      <w:marBottom w:val="0"/>
      <w:divBdr>
        <w:top w:val="none" w:sz="0" w:space="0" w:color="auto"/>
        <w:left w:val="none" w:sz="0" w:space="0" w:color="auto"/>
        <w:bottom w:val="none" w:sz="0" w:space="0" w:color="auto"/>
        <w:right w:val="none" w:sz="0" w:space="0" w:color="auto"/>
      </w:divBdr>
    </w:div>
    <w:div w:id="899290195">
      <w:bodyDiv w:val="1"/>
      <w:marLeft w:val="0"/>
      <w:marRight w:val="0"/>
      <w:marTop w:val="0"/>
      <w:marBottom w:val="0"/>
      <w:divBdr>
        <w:top w:val="none" w:sz="0" w:space="0" w:color="auto"/>
        <w:left w:val="none" w:sz="0" w:space="0" w:color="auto"/>
        <w:bottom w:val="none" w:sz="0" w:space="0" w:color="auto"/>
        <w:right w:val="none" w:sz="0" w:space="0" w:color="auto"/>
      </w:divBdr>
    </w:div>
    <w:div w:id="945891201">
      <w:bodyDiv w:val="1"/>
      <w:marLeft w:val="0"/>
      <w:marRight w:val="0"/>
      <w:marTop w:val="0"/>
      <w:marBottom w:val="0"/>
      <w:divBdr>
        <w:top w:val="none" w:sz="0" w:space="0" w:color="auto"/>
        <w:left w:val="none" w:sz="0" w:space="0" w:color="auto"/>
        <w:bottom w:val="none" w:sz="0" w:space="0" w:color="auto"/>
        <w:right w:val="none" w:sz="0" w:space="0" w:color="auto"/>
      </w:divBdr>
      <w:divsChild>
        <w:div w:id="1976712117">
          <w:marLeft w:val="0"/>
          <w:marRight w:val="0"/>
          <w:marTop w:val="0"/>
          <w:marBottom w:val="0"/>
          <w:divBdr>
            <w:top w:val="none" w:sz="0" w:space="0" w:color="auto"/>
            <w:left w:val="none" w:sz="0" w:space="0" w:color="auto"/>
            <w:bottom w:val="none" w:sz="0" w:space="0" w:color="auto"/>
            <w:right w:val="none" w:sz="0" w:space="0" w:color="auto"/>
          </w:divBdr>
          <w:divsChild>
            <w:div w:id="831289178">
              <w:marLeft w:val="0"/>
              <w:marRight w:val="0"/>
              <w:marTop w:val="0"/>
              <w:marBottom w:val="0"/>
              <w:divBdr>
                <w:top w:val="none" w:sz="0" w:space="0" w:color="auto"/>
                <w:left w:val="none" w:sz="0" w:space="0" w:color="auto"/>
                <w:bottom w:val="none" w:sz="0" w:space="0" w:color="auto"/>
                <w:right w:val="none" w:sz="0" w:space="0" w:color="auto"/>
              </w:divBdr>
              <w:divsChild>
                <w:div w:id="1986154576">
                  <w:marLeft w:val="0"/>
                  <w:marRight w:val="0"/>
                  <w:marTop w:val="0"/>
                  <w:marBottom w:val="0"/>
                  <w:divBdr>
                    <w:top w:val="none" w:sz="0" w:space="0" w:color="auto"/>
                    <w:left w:val="none" w:sz="0" w:space="0" w:color="auto"/>
                    <w:bottom w:val="none" w:sz="0" w:space="0" w:color="auto"/>
                    <w:right w:val="none" w:sz="0" w:space="0" w:color="auto"/>
                  </w:divBdr>
                  <w:divsChild>
                    <w:div w:id="1673529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68364032">
      <w:bodyDiv w:val="1"/>
      <w:marLeft w:val="0"/>
      <w:marRight w:val="0"/>
      <w:marTop w:val="0"/>
      <w:marBottom w:val="0"/>
      <w:divBdr>
        <w:top w:val="none" w:sz="0" w:space="0" w:color="auto"/>
        <w:left w:val="none" w:sz="0" w:space="0" w:color="auto"/>
        <w:bottom w:val="none" w:sz="0" w:space="0" w:color="auto"/>
        <w:right w:val="none" w:sz="0" w:space="0" w:color="auto"/>
      </w:divBdr>
    </w:div>
    <w:div w:id="973097129">
      <w:bodyDiv w:val="1"/>
      <w:marLeft w:val="0"/>
      <w:marRight w:val="0"/>
      <w:marTop w:val="0"/>
      <w:marBottom w:val="0"/>
      <w:divBdr>
        <w:top w:val="none" w:sz="0" w:space="0" w:color="auto"/>
        <w:left w:val="none" w:sz="0" w:space="0" w:color="auto"/>
        <w:bottom w:val="none" w:sz="0" w:space="0" w:color="auto"/>
        <w:right w:val="none" w:sz="0" w:space="0" w:color="auto"/>
      </w:divBdr>
    </w:div>
    <w:div w:id="1067337856">
      <w:bodyDiv w:val="1"/>
      <w:marLeft w:val="0"/>
      <w:marRight w:val="0"/>
      <w:marTop w:val="0"/>
      <w:marBottom w:val="0"/>
      <w:divBdr>
        <w:top w:val="none" w:sz="0" w:space="0" w:color="auto"/>
        <w:left w:val="none" w:sz="0" w:space="0" w:color="auto"/>
        <w:bottom w:val="none" w:sz="0" w:space="0" w:color="auto"/>
        <w:right w:val="none" w:sz="0" w:space="0" w:color="auto"/>
      </w:divBdr>
    </w:div>
    <w:div w:id="1095632306">
      <w:bodyDiv w:val="1"/>
      <w:marLeft w:val="0"/>
      <w:marRight w:val="0"/>
      <w:marTop w:val="0"/>
      <w:marBottom w:val="0"/>
      <w:divBdr>
        <w:top w:val="none" w:sz="0" w:space="0" w:color="auto"/>
        <w:left w:val="none" w:sz="0" w:space="0" w:color="auto"/>
        <w:bottom w:val="none" w:sz="0" w:space="0" w:color="auto"/>
        <w:right w:val="none" w:sz="0" w:space="0" w:color="auto"/>
      </w:divBdr>
    </w:div>
    <w:div w:id="1182620991">
      <w:bodyDiv w:val="1"/>
      <w:marLeft w:val="0"/>
      <w:marRight w:val="0"/>
      <w:marTop w:val="0"/>
      <w:marBottom w:val="0"/>
      <w:divBdr>
        <w:top w:val="none" w:sz="0" w:space="0" w:color="auto"/>
        <w:left w:val="none" w:sz="0" w:space="0" w:color="auto"/>
        <w:bottom w:val="none" w:sz="0" w:space="0" w:color="auto"/>
        <w:right w:val="none" w:sz="0" w:space="0" w:color="auto"/>
      </w:divBdr>
    </w:div>
    <w:div w:id="1189100991">
      <w:bodyDiv w:val="1"/>
      <w:marLeft w:val="0"/>
      <w:marRight w:val="0"/>
      <w:marTop w:val="0"/>
      <w:marBottom w:val="0"/>
      <w:divBdr>
        <w:top w:val="none" w:sz="0" w:space="0" w:color="auto"/>
        <w:left w:val="none" w:sz="0" w:space="0" w:color="auto"/>
        <w:bottom w:val="none" w:sz="0" w:space="0" w:color="auto"/>
        <w:right w:val="none" w:sz="0" w:space="0" w:color="auto"/>
      </w:divBdr>
    </w:div>
    <w:div w:id="1205944158">
      <w:bodyDiv w:val="1"/>
      <w:marLeft w:val="0"/>
      <w:marRight w:val="0"/>
      <w:marTop w:val="0"/>
      <w:marBottom w:val="0"/>
      <w:divBdr>
        <w:top w:val="none" w:sz="0" w:space="0" w:color="auto"/>
        <w:left w:val="none" w:sz="0" w:space="0" w:color="auto"/>
        <w:bottom w:val="none" w:sz="0" w:space="0" w:color="auto"/>
        <w:right w:val="none" w:sz="0" w:space="0" w:color="auto"/>
      </w:divBdr>
    </w:div>
    <w:div w:id="1246694072">
      <w:bodyDiv w:val="1"/>
      <w:marLeft w:val="0"/>
      <w:marRight w:val="0"/>
      <w:marTop w:val="0"/>
      <w:marBottom w:val="0"/>
      <w:divBdr>
        <w:top w:val="none" w:sz="0" w:space="0" w:color="auto"/>
        <w:left w:val="none" w:sz="0" w:space="0" w:color="auto"/>
        <w:bottom w:val="none" w:sz="0" w:space="0" w:color="auto"/>
        <w:right w:val="none" w:sz="0" w:space="0" w:color="auto"/>
      </w:divBdr>
      <w:divsChild>
        <w:div w:id="563874969">
          <w:marLeft w:val="0"/>
          <w:marRight w:val="0"/>
          <w:marTop w:val="0"/>
          <w:marBottom w:val="0"/>
          <w:divBdr>
            <w:top w:val="none" w:sz="0" w:space="0" w:color="auto"/>
            <w:left w:val="none" w:sz="0" w:space="0" w:color="auto"/>
            <w:bottom w:val="none" w:sz="0" w:space="0" w:color="auto"/>
            <w:right w:val="none" w:sz="0" w:space="0" w:color="auto"/>
          </w:divBdr>
          <w:divsChild>
            <w:div w:id="1258902264">
              <w:marLeft w:val="0"/>
              <w:marRight w:val="0"/>
              <w:marTop w:val="0"/>
              <w:marBottom w:val="0"/>
              <w:divBdr>
                <w:top w:val="none" w:sz="0" w:space="0" w:color="auto"/>
                <w:left w:val="none" w:sz="0" w:space="0" w:color="auto"/>
                <w:bottom w:val="none" w:sz="0" w:space="0" w:color="auto"/>
                <w:right w:val="none" w:sz="0" w:space="0" w:color="auto"/>
              </w:divBdr>
              <w:divsChild>
                <w:div w:id="509489367">
                  <w:marLeft w:val="0"/>
                  <w:marRight w:val="0"/>
                  <w:marTop w:val="0"/>
                  <w:marBottom w:val="0"/>
                  <w:divBdr>
                    <w:top w:val="none" w:sz="0" w:space="0" w:color="auto"/>
                    <w:left w:val="none" w:sz="0" w:space="0" w:color="auto"/>
                    <w:bottom w:val="none" w:sz="0" w:space="0" w:color="auto"/>
                    <w:right w:val="none" w:sz="0" w:space="0" w:color="auto"/>
                  </w:divBdr>
                  <w:divsChild>
                    <w:div w:id="244458217">
                      <w:marLeft w:val="0"/>
                      <w:marRight w:val="0"/>
                      <w:marTop w:val="0"/>
                      <w:marBottom w:val="0"/>
                      <w:divBdr>
                        <w:top w:val="none" w:sz="0" w:space="0" w:color="auto"/>
                        <w:left w:val="none" w:sz="0" w:space="0" w:color="auto"/>
                        <w:bottom w:val="none" w:sz="0" w:space="0" w:color="auto"/>
                        <w:right w:val="none" w:sz="0" w:space="0" w:color="auto"/>
                      </w:divBdr>
                    </w:div>
                    <w:div w:id="1229728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8150083">
      <w:bodyDiv w:val="1"/>
      <w:marLeft w:val="0"/>
      <w:marRight w:val="0"/>
      <w:marTop w:val="0"/>
      <w:marBottom w:val="0"/>
      <w:divBdr>
        <w:top w:val="none" w:sz="0" w:space="0" w:color="auto"/>
        <w:left w:val="none" w:sz="0" w:space="0" w:color="auto"/>
        <w:bottom w:val="none" w:sz="0" w:space="0" w:color="auto"/>
        <w:right w:val="none" w:sz="0" w:space="0" w:color="auto"/>
      </w:divBdr>
    </w:div>
    <w:div w:id="1285622801">
      <w:bodyDiv w:val="1"/>
      <w:marLeft w:val="0"/>
      <w:marRight w:val="0"/>
      <w:marTop w:val="0"/>
      <w:marBottom w:val="0"/>
      <w:divBdr>
        <w:top w:val="none" w:sz="0" w:space="0" w:color="auto"/>
        <w:left w:val="none" w:sz="0" w:space="0" w:color="auto"/>
        <w:bottom w:val="none" w:sz="0" w:space="0" w:color="auto"/>
        <w:right w:val="none" w:sz="0" w:space="0" w:color="auto"/>
      </w:divBdr>
    </w:div>
    <w:div w:id="1287397008">
      <w:bodyDiv w:val="1"/>
      <w:marLeft w:val="0"/>
      <w:marRight w:val="0"/>
      <w:marTop w:val="0"/>
      <w:marBottom w:val="0"/>
      <w:divBdr>
        <w:top w:val="none" w:sz="0" w:space="0" w:color="auto"/>
        <w:left w:val="none" w:sz="0" w:space="0" w:color="auto"/>
        <w:bottom w:val="none" w:sz="0" w:space="0" w:color="auto"/>
        <w:right w:val="none" w:sz="0" w:space="0" w:color="auto"/>
      </w:divBdr>
    </w:div>
    <w:div w:id="1298604717">
      <w:bodyDiv w:val="1"/>
      <w:marLeft w:val="0"/>
      <w:marRight w:val="0"/>
      <w:marTop w:val="0"/>
      <w:marBottom w:val="0"/>
      <w:divBdr>
        <w:top w:val="none" w:sz="0" w:space="0" w:color="auto"/>
        <w:left w:val="none" w:sz="0" w:space="0" w:color="auto"/>
        <w:bottom w:val="none" w:sz="0" w:space="0" w:color="auto"/>
        <w:right w:val="none" w:sz="0" w:space="0" w:color="auto"/>
      </w:divBdr>
    </w:div>
    <w:div w:id="1319965682">
      <w:bodyDiv w:val="1"/>
      <w:marLeft w:val="0"/>
      <w:marRight w:val="0"/>
      <w:marTop w:val="0"/>
      <w:marBottom w:val="0"/>
      <w:divBdr>
        <w:top w:val="none" w:sz="0" w:space="0" w:color="auto"/>
        <w:left w:val="none" w:sz="0" w:space="0" w:color="auto"/>
        <w:bottom w:val="none" w:sz="0" w:space="0" w:color="auto"/>
        <w:right w:val="none" w:sz="0" w:space="0" w:color="auto"/>
      </w:divBdr>
    </w:div>
    <w:div w:id="1403480151">
      <w:bodyDiv w:val="1"/>
      <w:marLeft w:val="0"/>
      <w:marRight w:val="0"/>
      <w:marTop w:val="0"/>
      <w:marBottom w:val="0"/>
      <w:divBdr>
        <w:top w:val="none" w:sz="0" w:space="0" w:color="auto"/>
        <w:left w:val="none" w:sz="0" w:space="0" w:color="auto"/>
        <w:bottom w:val="none" w:sz="0" w:space="0" w:color="auto"/>
        <w:right w:val="none" w:sz="0" w:space="0" w:color="auto"/>
      </w:divBdr>
    </w:div>
    <w:div w:id="1419324509">
      <w:bodyDiv w:val="1"/>
      <w:marLeft w:val="0"/>
      <w:marRight w:val="0"/>
      <w:marTop w:val="0"/>
      <w:marBottom w:val="0"/>
      <w:divBdr>
        <w:top w:val="none" w:sz="0" w:space="0" w:color="auto"/>
        <w:left w:val="none" w:sz="0" w:space="0" w:color="auto"/>
        <w:bottom w:val="none" w:sz="0" w:space="0" w:color="auto"/>
        <w:right w:val="none" w:sz="0" w:space="0" w:color="auto"/>
      </w:divBdr>
    </w:div>
    <w:div w:id="1421022734">
      <w:bodyDiv w:val="1"/>
      <w:marLeft w:val="0"/>
      <w:marRight w:val="0"/>
      <w:marTop w:val="0"/>
      <w:marBottom w:val="0"/>
      <w:divBdr>
        <w:top w:val="none" w:sz="0" w:space="0" w:color="auto"/>
        <w:left w:val="none" w:sz="0" w:space="0" w:color="auto"/>
        <w:bottom w:val="none" w:sz="0" w:space="0" w:color="auto"/>
        <w:right w:val="none" w:sz="0" w:space="0" w:color="auto"/>
      </w:divBdr>
    </w:div>
    <w:div w:id="1447188319">
      <w:bodyDiv w:val="1"/>
      <w:marLeft w:val="0"/>
      <w:marRight w:val="0"/>
      <w:marTop w:val="0"/>
      <w:marBottom w:val="0"/>
      <w:divBdr>
        <w:top w:val="none" w:sz="0" w:space="0" w:color="auto"/>
        <w:left w:val="none" w:sz="0" w:space="0" w:color="auto"/>
        <w:bottom w:val="none" w:sz="0" w:space="0" w:color="auto"/>
        <w:right w:val="none" w:sz="0" w:space="0" w:color="auto"/>
      </w:divBdr>
    </w:div>
    <w:div w:id="1459447287">
      <w:bodyDiv w:val="1"/>
      <w:marLeft w:val="0"/>
      <w:marRight w:val="0"/>
      <w:marTop w:val="0"/>
      <w:marBottom w:val="0"/>
      <w:divBdr>
        <w:top w:val="none" w:sz="0" w:space="0" w:color="auto"/>
        <w:left w:val="none" w:sz="0" w:space="0" w:color="auto"/>
        <w:bottom w:val="none" w:sz="0" w:space="0" w:color="auto"/>
        <w:right w:val="none" w:sz="0" w:space="0" w:color="auto"/>
      </w:divBdr>
      <w:divsChild>
        <w:div w:id="1648896125">
          <w:marLeft w:val="0"/>
          <w:marRight w:val="0"/>
          <w:marTop w:val="0"/>
          <w:marBottom w:val="0"/>
          <w:divBdr>
            <w:top w:val="none" w:sz="0" w:space="0" w:color="auto"/>
            <w:left w:val="none" w:sz="0" w:space="0" w:color="auto"/>
            <w:bottom w:val="none" w:sz="0" w:space="0" w:color="auto"/>
            <w:right w:val="none" w:sz="0" w:space="0" w:color="auto"/>
          </w:divBdr>
        </w:div>
        <w:div w:id="1199128516">
          <w:marLeft w:val="0"/>
          <w:marRight w:val="0"/>
          <w:marTop w:val="0"/>
          <w:marBottom w:val="0"/>
          <w:divBdr>
            <w:top w:val="none" w:sz="0" w:space="0" w:color="auto"/>
            <w:left w:val="none" w:sz="0" w:space="0" w:color="auto"/>
            <w:bottom w:val="none" w:sz="0" w:space="0" w:color="auto"/>
            <w:right w:val="none" w:sz="0" w:space="0" w:color="auto"/>
          </w:divBdr>
        </w:div>
      </w:divsChild>
    </w:div>
    <w:div w:id="1506743893">
      <w:bodyDiv w:val="1"/>
      <w:marLeft w:val="0"/>
      <w:marRight w:val="0"/>
      <w:marTop w:val="0"/>
      <w:marBottom w:val="0"/>
      <w:divBdr>
        <w:top w:val="none" w:sz="0" w:space="0" w:color="auto"/>
        <w:left w:val="none" w:sz="0" w:space="0" w:color="auto"/>
        <w:bottom w:val="none" w:sz="0" w:space="0" w:color="auto"/>
        <w:right w:val="none" w:sz="0" w:space="0" w:color="auto"/>
      </w:divBdr>
    </w:div>
    <w:div w:id="1512405311">
      <w:bodyDiv w:val="1"/>
      <w:marLeft w:val="0"/>
      <w:marRight w:val="0"/>
      <w:marTop w:val="0"/>
      <w:marBottom w:val="0"/>
      <w:divBdr>
        <w:top w:val="none" w:sz="0" w:space="0" w:color="auto"/>
        <w:left w:val="none" w:sz="0" w:space="0" w:color="auto"/>
        <w:bottom w:val="none" w:sz="0" w:space="0" w:color="auto"/>
        <w:right w:val="none" w:sz="0" w:space="0" w:color="auto"/>
      </w:divBdr>
    </w:div>
    <w:div w:id="1542815740">
      <w:bodyDiv w:val="1"/>
      <w:marLeft w:val="0"/>
      <w:marRight w:val="0"/>
      <w:marTop w:val="0"/>
      <w:marBottom w:val="0"/>
      <w:divBdr>
        <w:top w:val="none" w:sz="0" w:space="0" w:color="auto"/>
        <w:left w:val="none" w:sz="0" w:space="0" w:color="auto"/>
        <w:bottom w:val="none" w:sz="0" w:space="0" w:color="auto"/>
        <w:right w:val="none" w:sz="0" w:space="0" w:color="auto"/>
      </w:divBdr>
    </w:div>
    <w:div w:id="1614821845">
      <w:bodyDiv w:val="1"/>
      <w:marLeft w:val="0"/>
      <w:marRight w:val="0"/>
      <w:marTop w:val="0"/>
      <w:marBottom w:val="0"/>
      <w:divBdr>
        <w:top w:val="none" w:sz="0" w:space="0" w:color="auto"/>
        <w:left w:val="none" w:sz="0" w:space="0" w:color="auto"/>
        <w:bottom w:val="none" w:sz="0" w:space="0" w:color="auto"/>
        <w:right w:val="none" w:sz="0" w:space="0" w:color="auto"/>
      </w:divBdr>
    </w:div>
    <w:div w:id="1649555257">
      <w:bodyDiv w:val="1"/>
      <w:marLeft w:val="0"/>
      <w:marRight w:val="0"/>
      <w:marTop w:val="0"/>
      <w:marBottom w:val="0"/>
      <w:divBdr>
        <w:top w:val="none" w:sz="0" w:space="0" w:color="auto"/>
        <w:left w:val="none" w:sz="0" w:space="0" w:color="auto"/>
        <w:bottom w:val="none" w:sz="0" w:space="0" w:color="auto"/>
        <w:right w:val="none" w:sz="0" w:space="0" w:color="auto"/>
      </w:divBdr>
    </w:div>
    <w:div w:id="1687100172">
      <w:bodyDiv w:val="1"/>
      <w:marLeft w:val="0"/>
      <w:marRight w:val="0"/>
      <w:marTop w:val="0"/>
      <w:marBottom w:val="0"/>
      <w:divBdr>
        <w:top w:val="none" w:sz="0" w:space="0" w:color="auto"/>
        <w:left w:val="none" w:sz="0" w:space="0" w:color="auto"/>
        <w:bottom w:val="none" w:sz="0" w:space="0" w:color="auto"/>
        <w:right w:val="none" w:sz="0" w:space="0" w:color="auto"/>
      </w:divBdr>
    </w:div>
    <w:div w:id="1705983787">
      <w:bodyDiv w:val="1"/>
      <w:marLeft w:val="0"/>
      <w:marRight w:val="0"/>
      <w:marTop w:val="0"/>
      <w:marBottom w:val="0"/>
      <w:divBdr>
        <w:top w:val="none" w:sz="0" w:space="0" w:color="auto"/>
        <w:left w:val="none" w:sz="0" w:space="0" w:color="auto"/>
        <w:bottom w:val="none" w:sz="0" w:space="0" w:color="auto"/>
        <w:right w:val="none" w:sz="0" w:space="0" w:color="auto"/>
      </w:divBdr>
    </w:div>
    <w:div w:id="1708068698">
      <w:bodyDiv w:val="1"/>
      <w:marLeft w:val="0"/>
      <w:marRight w:val="0"/>
      <w:marTop w:val="0"/>
      <w:marBottom w:val="0"/>
      <w:divBdr>
        <w:top w:val="none" w:sz="0" w:space="0" w:color="auto"/>
        <w:left w:val="none" w:sz="0" w:space="0" w:color="auto"/>
        <w:bottom w:val="none" w:sz="0" w:space="0" w:color="auto"/>
        <w:right w:val="none" w:sz="0" w:space="0" w:color="auto"/>
      </w:divBdr>
    </w:div>
    <w:div w:id="1744643434">
      <w:bodyDiv w:val="1"/>
      <w:marLeft w:val="0"/>
      <w:marRight w:val="0"/>
      <w:marTop w:val="0"/>
      <w:marBottom w:val="0"/>
      <w:divBdr>
        <w:top w:val="none" w:sz="0" w:space="0" w:color="auto"/>
        <w:left w:val="none" w:sz="0" w:space="0" w:color="auto"/>
        <w:bottom w:val="none" w:sz="0" w:space="0" w:color="auto"/>
        <w:right w:val="none" w:sz="0" w:space="0" w:color="auto"/>
      </w:divBdr>
      <w:divsChild>
        <w:div w:id="540628143">
          <w:marLeft w:val="0"/>
          <w:marRight w:val="0"/>
          <w:marTop w:val="0"/>
          <w:marBottom w:val="0"/>
          <w:divBdr>
            <w:top w:val="none" w:sz="0" w:space="0" w:color="auto"/>
            <w:left w:val="none" w:sz="0" w:space="0" w:color="auto"/>
            <w:bottom w:val="none" w:sz="0" w:space="0" w:color="auto"/>
            <w:right w:val="none" w:sz="0" w:space="0" w:color="auto"/>
          </w:divBdr>
          <w:divsChild>
            <w:div w:id="1805152612">
              <w:marLeft w:val="0"/>
              <w:marRight w:val="0"/>
              <w:marTop w:val="0"/>
              <w:marBottom w:val="0"/>
              <w:divBdr>
                <w:top w:val="none" w:sz="0" w:space="0" w:color="auto"/>
                <w:left w:val="none" w:sz="0" w:space="0" w:color="auto"/>
                <w:bottom w:val="none" w:sz="0" w:space="0" w:color="auto"/>
                <w:right w:val="none" w:sz="0" w:space="0" w:color="auto"/>
              </w:divBdr>
              <w:divsChild>
                <w:div w:id="1808010654">
                  <w:marLeft w:val="0"/>
                  <w:marRight w:val="0"/>
                  <w:marTop w:val="0"/>
                  <w:marBottom w:val="0"/>
                  <w:divBdr>
                    <w:top w:val="none" w:sz="0" w:space="0" w:color="auto"/>
                    <w:left w:val="none" w:sz="0" w:space="0" w:color="auto"/>
                    <w:bottom w:val="none" w:sz="0" w:space="0" w:color="auto"/>
                    <w:right w:val="none" w:sz="0" w:space="0" w:color="auto"/>
                  </w:divBdr>
                  <w:divsChild>
                    <w:div w:id="657612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57558878">
      <w:bodyDiv w:val="1"/>
      <w:marLeft w:val="0"/>
      <w:marRight w:val="0"/>
      <w:marTop w:val="0"/>
      <w:marBottom w:val="0"/>
      <w:divBdr>
        <w:top w:val="none" w:sz="0" w:space="0" w:color="auto"/>
        <w:left w:val="none" w:sz="0" w:space="0" w:color="auto"/>
        <w:bottom w:val="none" w:sz="0" w:space="0" w:color="auto"/>
        <w:right w:val="none" w:sz="0" w:space="0" w:color="auto"/>
      </w:divBdr>
    </w:div>
    <w:div w:id="1761830677">
      <w:bodyDiv w:val="1"/>
      <w:marLeft w:val="0"/>
      <w:marRight w:val="0"/>
      <w:marTop w:val="0"/>
      <w:marBottom w:val="0"/>
      <w:divBdr>
        <w:top w:val="none" w:sz="0" w:space="0" w:color="auto"/>
        <w:left w:val="none" w:sz="0" w:space="0" w:color="auto"/>
        <w:bottom w:val="none" w:sz="0" w:space="0" w:color="auto"/>
        <w:right w:val="none" w:sz="0" w:space="0" w:color="auto"/>
      </w:divBdr>
    </w:div>
    <w:div w:id="1765303845">
      <w:bodyDiv w:val="1"/>
      <w:marLeft w:val="0"/>
      <w:marRight w:val="0"/>
      <w:marTop w:val="0"/>
      <w:marBottom w:val="0"/>
      <w:divBdr>
        <w:top w:val="none" w:sz="0" w:space="0" w:color="auto"/>
        <w:left w:val="none" w:sz="0" w:space="0" w:color="auto"/>
        <w:bottom w:val="none" w:sz="0" w:space="0" w:color="auto"/>
        <w:right w:val="none" w:sz="0" w:space="0" w:color="auto"/>
      </w:divBdr>
    </w:div>
    <w:div w:id="1782142983">
      <w:bodyDiv w:val="1"/>
      <w:marLeft w:val="0"/>
      <w:marRight w:val="0"/>
      <w:marTop w:val="0"/>
      <w:marBottom w:val="0"/>
      <w:divBdr>
        <w:top w:val="none" w:sz="0" w:space="0" w:color="auto"/>
        <w:left w:val="none" w:sz="0" w:space="0" w:color="auto"/>
        <w:bottom w:val="none" w:sz="0" w:space="0" w:color="auto"/>
        <w:right w:val="none" w:sz="0" w:space="0" w:color="auto"/>
      </w:divBdr>
    </w:div>
    <w:div w:id="1812285129">
      <w:bodyDiv w:val="1"/>
      <w:marLeft w:val="0"/>
      <w:marRight w:val="0"/>
      <w:marTop w:val="0"/>
      <w:marBottom w:val="0"/>
      <w:divBdr>
        <w:top w:val="none" w:sz="0" w:space="0" w:color="auto"/>
        <w:left w:val="none" w:sz="0" w:space="0" w:color="auto"/>
        <w:bottom w:val="none" w:sz="0" w:space="0" w:color="auto"/>
        <w:right w:val="none" w:sz="0" w:space="0" w:color="auto"/>
      </w:divBdr>
    </w:div>
    <w:div w:id="1826780429">
      <w:bodyDiv w:val="1"/>
      <w:marLeft w:val="0"/>
      <w:marRight w:val="0"/>
      <w:marTop w:val="0"/>
      <w:marBottom w:val="0"/>
      <w:divBdr>
        <w:top w:val="none" w:sz="0" w:space="0" w:color="auto"/>
        <w:left w:val="none" w:sz="0" w:space="0" w:color="auto"/>
        <w:bottom w:val="none" w:sz="0" w:space="0" w:color="auto"/>
        <w:right w:val="none" w:sz="0" w:space="0" w:color="auto"/>
      </w:divBdr>
    </w:div>
    <w:div w:id="1830053978">
      <w:bodyDiv w:val="1"/>
      <w:marLeft w:val="0"/>
      <w:marRight w:val="0"/>
      <w:marTop w:val="0"/>
      <w:marBottom w:val="0"/>
      <w:divBdr>
        <w:top w:val="none" w:sz="0" w:space="0" w:color="auto"/>
        <w:left w:val="none" w:sz="0" w:space="0" w:color="auto"/>
        <w:bottom w:val="none" w:sz="0" w:space="0" w:color="auto"/>
        <w:right w:val="none" w:sz="0" w:space="0" w:color="auto"/>
      </w:divBdr>
    </w:div>
    <w:div w:id="1857425086">
      <w:bodyDiv w:val="1"/>
      <w:marLeft w:val="0"/>
      <w:marRight w:val="0"/>
      <w:marTop w:val="0"/>
      <w:marBottom w:val="0"/>
      <w:divBdr>
        <w:top w:val="none" w:sz="0" w:space="0" w:color="auto"/>
        <w:left w:val="none" w:sz="0" w:space="0" w:color="auto"/>
        <w:bottom w:val="none" w:sz="0" w:space="0" w:color="auto"/>
        <w:right w:val="none" w:sz="0" w:space="0" w:color="auto"/>
      </w:divBdr>
    </w:div>
    <w:div w:id="1975789725">
      <w:bodyDiv w:val="1"/>
      <w:marLeft w:val="0"/>
      <w:marRight w:val="0"/>
      <w:marTop w:val="0"/>
      <w:marBottom w:val="0"/>
      <w:divBdr>
        <w:top w:val="none" w:sz="0" w:space="0" w:color="auto"/>
        <w:left w:val="none" w:sz="0" w:space="0" w:color="auto"/>
        <w:bottom w:val="none" w:sz="0" w:space="0" w:color="auto"/>
        <w:right w:val="none" w:sz="0" w:space="0" w:color="auto"/>
      </w:divBdr>
    </w:div>
    <w:div w:id="1977105367">
      <w:bodyDiv w:val="1"/>
      <w:marLeft w:val="0"/>
      <w:marRight w:val="0"/>
      <w:marTop w:val="0"/>
      <w:marBottom w:val="0"/>
      <w:divBdr>
        <w:top w:val="none" w:sz="0" w:space="0" w:color="auto"/>
        <w:left w:val="none" w:sz="0" w:space="0" w:color="auto"/>
        <w:bottom w:val="none" w:sz="0" w:space="0" w:color="auto"/>
        <w:right w:val="none" w:sz="0" w:space="0" w:color="auto"/>
      </w:divBdr>
    </w:div>
    <w:div w:id="1997300280">
      <w:bodyDiv w:val="1"/>
      <w:marLeft w:val="0"/>
      <w:marRight w:val="0"/>
      <w:marTop w:val="0"/>
      <w:marBottom w:val="0"/>
      <w:divBdr>
        <w:top w:val="none" w:sz="0" w:space="0" w:color="auto"/>
        <w:left w:val="none" w:sz="0" w:space="0" w:color="auto"/>
        <w:bottom w:val="none" w:sz="0" w:space="0" w:color="auto"/>
        <w:right w:val="none" w:sz="0" w:space="0" w:color="auto"/>
      </w:divBdr>
    </w:div>
    <w:div w:id="2022512160">
      <w:bodyDiv w:val="1"/>
      <w:marLeft w:val="0"/>
      <w:marRight w:val="0"/>
      <w:marTop w:val="0"/>
      <w:marBottom w:val="0"/>
      <w:divBdr>
        <w:top w:val="none" w:sz="0" w:space="0" w:color="auto"/>
        <w:left w:val="none" w:sz="0" w:space="0" w:color="auto"/>
        <w:bottom w:val="none" w:sz="0" w:space="0" w:color="auto"/>
        <w:right w:val="none" w:sz="0" w:space="0" w:color="auto"/>
      </w:divBdr>
    </w:div>
    <w:div w:id="2072922243">
      <w:bodyDiv w:val="1"/>
      <w:marLeft w:val="0"/>
      <w:marRight w:val="0"/>
      <w:marTop w:val="0"/>
      <w:marBottom w:val="0"/>
      <w:divBdr>
        <w:top w:val="none" w:sz="0" w:space="0" w:color="auto"/>
        <w:left w:val="none" w:sz="0" w:space="0" w:color="auto"/>
        <w:bottom w:val="none" w:sz="0" w:space="0" w:color="auto"/>
        <w:right w:val="none" w:sz="0" w:space="0" w:color="auto"/>
      </w:divBdr>
    </w:div>
    <w:div w:id="2102070365">
      <w:bodyDiv w:val="1"/>
      <w:marLeft w:val="0"/>
      <w:marRight w:val="0"/>
      <w:marTop w:val="0"/>
      <w:marBottom w:val="0"/>
      <w:divBdr>
        <w:top w:val="none" w:sz="0" w:space="0" w:color="auto"/>
        <w:left w:val="none" w:sz="0" w:space="0" w:color="auto"/>
        <w:bottom w:val="none" w:sz="0" w:space="0" w:color="auto"/>
        <w:right w:val="none" w:sz="0" w:space="0" w:color="auto"/>
      </w:divBdr>
      <w:divsChild>
        <w:div w:id="1874153234">
          <w:marLeft w:val="0"/>
          <w:marRight w:val="0"/>
          <w:marTop w:val="0"/>
          <w:marBottom w:val="0"/>
          <w:divBdr>
            <w:top w:val="none" w:sz="0" w:space="0" w:color="auto"/>
            <w:left w:val="none" w:sz="0" w:space="0" w:color="auto"/>
            <w:bottom w:val="none" w:sz="0" w:space="0" w:color="auto"/>
            <w:right w:val="none" w:sz="0" w:space="0" w:color="auto"/>
          </w:divBdr>
          <w:divsChild>
            <w:div w:id="1596402707">
              <w:marLeft w:val="0"/>
              <w:marRight w:val="0"/>
              <w:marTop w:val="0"/>
              <w:marBottom w:val="0"/>
              <w:divBdr>
                <w:top w:val="none" w:sz="0" w:space="0" w:color="auto"/>
                <w:left w:val="none" w:sz="0" w:space="0" w:color="auto"/>
                <w:bottom w:val="none" w:sz="0" w:space="0" w:color="auto"/>
                <w:right w:val="none" w:sz="0" w:space="0" w:color="auto"/>
              </w:divBdr>
              <w:divsChild>
                <w:div w:id="1698966880">
                  <w:marLeft w:val="0"/>
                  <w:marRight w:val="0"/>
                  <w:marTop w:val="0"/>
                  <w:marBottom w:val="0"/>
                  <w:divBdr>
                    <w:top w:val="none" w:sz="0" w:space="0" w:color="auto"/>
                    <w:left w:val="none" w:sz="0" w:space="0" w:color="auto"/>
                    <w:bottom w:val="none" w:sz="0" w:space="0" w:color="auto"/>
                    <w:right w:val="none" w:sz="0" w:space="0" w:color="auto"/>
                  </w:divBdr>
                  <w:divsChild>
                    <w:div w:id="1662346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04379196">
      <w:bodyDiv w:val="1"/>
      <w:marLeft w:val="0"/>
      <w:marRight w:val="0"/>
      <w:marTop w:val="0"/>
      <w:marBottom w:val="0"/>
      <w:divBdr>
        <w:top w:val="none" w:sz="0" w:space="0" w:color="auto"/>
        <w:left w:val="none" w:sz="0" w:space="0" w:color="auto"/>
        <w:bottom w:val="none" w:sz="0" w:space="0" w:color="auto"/>
        <w:right w:val="none" w:sz="0" w:space="0" w:color="auto"/>
      </w:divBdr>
    </w:div>
    <w:div w:id="21116558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RelyOnCSS/>
</w:webSettings>
</file>

<file path=word/_rels/document.xml.rels><?xml version="1.0" encoding="UTF-8" standalone="yes"?>
<Relationships xmlns="http://schemas.openxmlformats.org/package/2006/relationships"><Relationship Id="rId8" Type="http://schemas.openxmlformats.org/officeDocument/2006/relationships/hyperlink" Target="mailto:d.fieml@tkt-vivax.de"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tkt-vivax.de//kachelinhalt/tktvivax-bedarfsorientiert-fordern-statt-potenziale-analysieren"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mailto:upa@press-n-relations.de" TargetMode="External"/><Relationship Id="rId4" Type="http://schemas.openxmlformats.org/officeDocument/2006/relationships/webSettings" Target="webSettings.xml"/><Relationship Id="rId9" Type="http://schemas.openxmlformats.org/officeDocument/2006/relationships/hyperlink" Target="http://www.tkt-vivax.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Larissa">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644</Words>
  <Characters>4061</Characters>
  <Application>Microsoft Office Word</Application>
  <DocSecurity>0</DocSecurity>
  <Lines>33</Lines>
  <Paragraphs>9</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4696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Dipl.- Ing. (FH) Dirk Fieml</dc:creator>
  <cp:keywords/>
  <dc:description/>
  <cp:lastModifiedBy>Uwe Pagel</cp:lastModifiedBy>
  <cp:revision>3</cp:revision>
  <cp:lastPrinted>2022-06-03T06:41:00Z</cp:lastPrinted>
  <dcterms:created xsi:type="dcterms:W3CDTF">2022-10-19T12:58:00Z</dcterms:created>
  <dcterms:modified xsi:type="dcterms:W3CDTF">2022-10-19T13:20:00Z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