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5C36C" w14:textId="77777777" w:rsidR="00607944" w:rsidRPr="00B46453" w:rsidRDefault="00607944" w:rsidP="00607944">
      <w:pPr>
        <w:spacing w:line="288" w:lineRule="auto"/>
        <w:outlineLvl w:val="0"/>
        <w:rPr>
          <w:rFonts w:ascii="Helvetica" w:hAnsi="Helvetica"/>
          <w:b/>
        </w:rPr>
      </w:pPr>
      <w:r>
        <w:rPr>
          <w:rFonts w:ascii="Helvetica" w:hAnsi="Helvetica"/>
          <w:b/>
        </w:rPr>
        <w:t>MEDIEN</w:t>
      </w:r>
      <w:r w:rsidRPr="00B46453">
        <w:rPr>
          <w:rFonts w:ascii="Helvetica" w:hAnsi="Helvetica"/>
          <w:b/>
        </w:rPr>
        <w:t>INFORMATION</w:t>
      </w:r>
    </w:p>
    <w:p w14:paraId="6F27FFBB" w14:textId="77777777" w:rsidR="008D1A6A" w:rsidRDefault="008D1A6A">
      <w:pPr>
        <w:spacing w:line="288" w:lineRule="auto"/>
        <w:rPr>
          <w:rFonts w:ascii="Helvetica" w:hAnsi="Helvetica"/>
          <w:b/>
        </w:rPr>
      </w:pPr>
    </w:p>
    <w:p w14:paraId="6C8AAB62" w14:textId="77777777" w:rsidR="008D1A6A" w:rsidRDefault="00000000">
      <w:pPr>
        <w:spacing w:line="288" w:lineRule="auto"/>
        <w:rPr>
          <w:rFonts w:ascii="Helvetica" w:hAnsi="Helvetica"/>
          <w:sz w:val="20"/>
          <w:szCs w:val="20"/>
        </w:rPr>
      </w:pPr>
      <w:r>
        <w:rPr>
          <w:rFonts w:ascii="Helvetica" w:hAnsi="Helvetica"/>
          <w:sz w:val="20"/>
          <w:szCs w:val="20"/>
        </w:rPr>
        <w:t>Duisburg, 17. Dezember 2025</w:t>
      </w:r>
    </w:p>
    <w:p w14:paraId="1EDDB196" w14:textId="77777777" w:rsidR="008D1A6A" w:rsidRDefault="008D1A6A">
      <w:pPr>
        <w:pStyle w:val="Textkrper"/>
        <w:spacing w:line="288" w:lineRule="auto"/>
        <w:ind w:right="1559"/>
        <w:rPr>
          <w:bCs/>
        </w:rPr>
      </w:pPr>
    </w:p>
    <w:p w14:paraId="39F27905" w14:textId="77777777" w:rsidR="008D1A6A" w:rsidRDefault="00000000">
      <w:pPr>
        <w:spacing w:line="288" w:lineRule="auto"/>
        <w:ind w:right="1134"/>
        <w:rPr>
          <w:rFonts w:ascii="Helvetica" w:eastAsia="SimSun" w:hAnsi="Helvetica"/>
          <w:b/>
          <w:sz w:val="22"/>
          <w:szCs w:val="22"/>
          <w:lang w:eastAsia="en-US"/>
        </w:rPr>
      </w:pPr>
      <w:r>
        <w:rPr>
          <w:rFonts w:ascii="Helvetica" w:eastAsia="SimSun" w:hAnsi="Helvetica"/>
          <w:b/>
          <w:sz w:val="22"/>
          <w:szCs w:val="22"/>
          <w:lang w:eastAsia="en-US"/>
        </w:rPr>
        <w:t>WatchGuard bietet einen einfachen Weg zu moderner Zero-Trust-Sicherheit</w:t>
      </w:r>
    </w:p>
    <w:p w14:paraId="26199121" w14:textId="593B1992" w:rsidR="008D1A6A" w:rsidRDefault="00000000">
      <w:pPr>
        <w:spacing w:line="288" w:lineRule="auto"/>
        <w:ind w:right="1134"/>
        <w:rPr>
          <w:rFonts w:ascii="Helvetica" w:hAnsi="Helvetica"/>
          <w:sz w:val="20"/>
          <w:szCs w:val="20"/>
        </w:rPr>
      </w:pPr>
      <w:r>
        <w:rPr>
          <w:rFonts w:ascii="Helvetica" w:hAnsi="Helvetica"/>
          <w:sz w:val="20"/>
          <w:szCs w:val="20"/>
        </w:rPr>
        <w:t xml:space="preserve">Neue Lösung von WatchGuard </w:t>
      </w:r>
      <w:proofErr w:type="spellStart"/>
      <w:r>
        <w:rPr>
          <w:rFonts w:ascii="Helvetica" w:hAnsi="Helvetica"/>
          <w:sz w:val="20"/>
          <w:szCs w:val="20"/>
        </w:rPr>
        <w:t>gie</w:t>
      </w:r>
      <w:r w:rsidR="00607944">
        <w:rPr>
          <w:rFonts w:ascii="Helvetica" w:hAnsi="Helvetica"/>
          <w:sz w:val="20"/>
          <w:szCs w:val="20"/>
        </w:rPr>
        <w:t>ss</w:t>
      </w:r>
      <w:r>
        <w:rPr>
          <w:rFonts w:ascii="Helvetica" w:hAnsi="Helvetica"/>
          <w:sz w:val="20"/>
          <w:szCs w:val="20"/>
        </w:rPr>
        <w:t>t</w:t>
      </w:r>
      <w:proofErr w:type="spellEnd"/>
      <w:r>
        <w:rPr>
          <w:rFonts w:ascii="Helvetica" w:hAnsi="Helvetica"/>
          <w:sz w:val="20"/>
          <w:szCs w:val="20"/>
        </w:rPr>
        <w:t xml:space="preserve"> Komplexität bestehender „Zero Trust“-Ansätze in ein einheitliches und praktikables Konzept </w:t>
      </w:r>
    </w:p>
    <w:p w14:paraId="3DE17070" w14:textId="77777777" w:rsidR="008D1A6A" w:rsidRDefault="008D1A6A">
      <w:pPr>
        <w:spacing w:line="288" w:lineRule="auto"/>
        <w:ind w:right="1134"/>
        <w:rPr>
          <w:rFonts w:ascii="Helvetica" w:hAnsi="Helvetica"/>
          <w:b/>
          <w:bCs/>
          <w:sz w:val="20"/>
          <w:szCs w:val="20"/>
        </w:rPr>
      </w:pPr>
    </w:p>
    <w:p w14:paraId="0CA33D2D" w14:textId="3F4545A0" w:rsidR="008D1A6A" w:rsidRDefault="00000000">
      <w:pPr>
        <w:spacing w:line="288" w:lineRule="auto"/>
        <w:ind w:right="1134"/>
        <w:rPr>
          <w:rFonts w:ascii="Helvetica" w:hAnsi="Helvetica"/>
          <w:b/>
          <w:bCs/>
          <w:sz w:val="20"/>
          <w:szCs w:val="20"/>
        </w:rPr>
      </w:pPr>
      <w:r>
        <w:rPr>
          <w:rFonts w:ascii="Helvetica" w:hAnsi="Helvetica"/>
          <w:b/>
          <w:bCs/>
          <w:sz w:val="20"/>
          <w:szCs w:val="20"/>
        </w:rPr>
        <w:t xml:space="preserve">Mit dem neuen „Zero Trust Bundle“ liefert WatchGuard Technologies eine Lösung, die Organisationen jeder </w:t>
      </w:r>
      <w:proofErr w:type="spellStart"/>
      <w:r>
        <w:rPr>
          <w:rFonts w:ascii="Helvetica" w:hAnsi="Helvetica"/>
          <w:b/>
          <w:bCs/>
          <w:sz w:val="20"/>
          <w:szCs w:val="20"/>
        </w:rPr>
        <w:t>Grö</w:t>
      </w:r>
      <w:r w:rsidR="00607944">
        <w:rPr>
          <w:rFonts w:ascii="Helvetica" w:hAnsi="Helvetica"/>
          <w:b/>
          <w:bCs/>
          <w:sz w:val="20"/>
          <w:szCs w:val="20"/>
        </w:rPr>
        <w:t>ss</w:t>
      </w:r>
      <w:r>
        <w:rPr>
          <w:rFonts w:ascii="Helvetica" w:hAnsi="Helvetica"/>
          <w:b/>
          <w:bCs/>
          <w:sz w:val="20"/>
          <w:szCs w:val="20"/>
        </w:rPr>
        <w:t>e</w:t>
      </w:r>
      <w:proofErr w:type="spellEnd"/>
      <w:r>
        <w:rPr>
          <w:rFonts w:ascii="Helvetica" w:hAnsi="Helvetica"/>
          <w:b/>
          <w:bCs/>
          <w:sz w:val="20"/>
          <w:szCs w:val="20"/>
        </w:rPr>
        <w:t xml:space="preserve"> und </w:t>
      </w:r>
      <w:proofErr w:type="spellStart"/>
      <w:r>
        <w:rPr>
          <w:rFonts w:ascii="Helvetica" w:hAnsi="Helvetica"/>
          <w:b/>
          <w:bCs/>
          <w:sz w:val="20"/>
          <w:szCs w:val="20"/>
        </w:rPr>
        <w:t>Managed</w:t>
      </w:r>
      <w:proofErr w:type="spellEnd"/>
      <w:r>
        <w:rPr>
          <w:rFonts w:ascii="Helvetica" w:hAnsi="Helvetica"/>
          <w:b/>
          <w:bCs/>
          <w:sz w:val="20"/>
          <w:szCs w:val="20"/>
        </w:rPr>
        <w:t xml:space="preserve"> Service Providern (MSP) eine einfache und gleichzeitig umfassende Umsetzung von Zero Trust aus einem Guss ermöglicht. Dabei werden die typischen Probleme, mit denen Unternehmen im Zuge der Zero-Trust-Thematik seit Jahren zu kämpfen haben, gezielt angegangen. Hohen Kosten, betrieblichen Reibungsverlusten und Störungen im geschäftlichen Alltag, die mit dem Parallelbetrieb unterschiedlichster Werkzeuge für Identität, Endgeräte, Fernzugriff und Netzwerk für gewöhnlich einhergehen, setzt WatchGuard eine schlagkräftige Alternative entgegen: Das WatchGuard Zero Trust Bundle vereint vielfältige Funktionen in einem einfachen, cloudbasierten Framework, das kontinuierlich jede Verbindung überprüft.</w:t>
      </w:r>
    </w:p>
    <w:p w14:paraId="6D6E9B92" w14:textId="77777777" w:rsidR="008D1A6A" w:rsidRDefault="008D1A6A">
      <w:pPr>
        <w:spacing w:line="288" w:lineRule="auto"/>
        <w:ind w:right="1134"/>
        <w:rPr>
          <w:rFonts w:ascii="Helvetica" w:hAnsi="Helvetica"/>
          <w:b/>
          <w:bCs/>
          <w:sz w:val="20"/>
          <w:szCs w:val="20"/>
        </w:rPr>
      </w:pPr>
    </w:p>
    <w:p w14:paraId="47532108" w14:textId="0C8563EE" w:rsidR="008D1A6A" w:rsidRDefault="00000000">
      <w:pPr>
        <w:pStyle w:val="Textkrper"/>
        <w:spacing w:line="288" w:lineRule="auto"/>
        <w:ind w:right="1134"/>
        <w:rPr>
          <w:rFonts w:eastAsia="Times New Roman"/>
          <w:b w:val="0"/>
          <w:sz w:val="20"/>
          <w:szCs w:val="20"/>
          <w:lang w:eastAsia="de-DE"/>
        </w:rPr>
      </w:pPr>
      <w:r>
        <w:rPr>
          <w:rFonts w:eastAsia="Times New Roman"/>
          <w:b w:val="0"/>
          <w:sz w:val="20"/>
          <w:szCs w:val="20"/>
          <w:lang w:eastAsia="de-DE"/>
        </w:rPr>
        <w:t xml:space="preserve">Damit reagiert WatchGuard auf die Realität der Bedrohungsszenarien, bei denen Angreifer nicht nur immer stärker Identitäten und Endpunkte ins Visier nehmen. Laut aktuellem </w:t>
      </w:r>
      <w:hyperlink r:id="rId8" w:history="1">
        <w:r w:rsidR="008D1A6A" w:rsidRPr="00956541">
          <w:rPr>
            <w:rStyle w:val="Hyperlink"/>
            <w:rFonts w:eastAsia="Times New Roman"/>
            <w:b w:val="0"/>
            <w:sz w:val="20"/>
            <w:szCs w:val="20"/>
            <w:lang w:eastAsia="de-DE"/>
          </w:rPr>
          <w:t>Internet Security Report</w:t>
        </w:r>
      </w:hyperlink>
      <w:r>
        <w:rPr>
          <w:rFonts w:eastAsia="Times New Roman"/>
          <w:b w:val="0"/>
          <w:sz w:val="20"/>
          <w:szCs w:val="20"/>
          <w:lang w:eastAsia="de-DE"/>
        </w:rPr>
        <w:t xml:space="preserve"> von WatchGuard steigt die Zahl evasiver Malware nach wie vor stetig (plus 40 Prozent gegenüber dem Vorquartal). Gleichzeitig werden 70 Prozent der Schadsoftware mittlerweile über verschlüsselte Kanäle verbreitet, </w:t>
      </w:r>
      <w:r w:rsidR="00E2420A">
        <w:rPr>
          <w:rFonts w:eastAsia="Times New Roman"/>
          <w:b w:val="0"/>
          <w:sz w:val="20"/>
          <w:szCs w:val="20"/>
          <w:lang w:eastAsia="de-DE"/>
        </w:rPr>
        <w:t>wodurch herkömmliche</w:t>
      </w:r>
      <w:r>
        <w:rPr>
          <w:rFonts w:eastAsia="Times New Roman"/>
          <w:b w:val="0"/>
          <w:sz w:val="20"/>
          <w:szCs w:val="20"/>
          <w:lang w:eastAsia="de-DE"/>
        </w:rPr>
        <w:t xml:space="preserve"> Schutzmechanismen entscheidend an Wirkung </w:t>
      </w:r>
      <w:proofErr w:type="spellStart"/>
      <w:r>
        <w:rPr>
          <w:rFonts w:eastAsia="Times New Roman"/>
          <w:b w:val="0"/>
          <w:sz w:val="20"/>
          <w:szCs w:val="20"/>
          <w:lang w:eastAsia="de-DE"/>
        </w:rPr>
        <w:t>einbü</w:t>
      </w:r>
      <w:r w:rsidR="00607944">
        <w:rPr>
          <w:rFonts w:eastAsia="Times New Roman"/>
          <w:b w:val="0"/>
          <w:sz w:val="20"/>
          <w:szCs w:val="20"/>
          <w:lang w:eastAsia="de-DE"/>
        </w:rPr>
        <w:t>ss</w:t>
      </w:r>
      <w:r>
        <w:rPr>
          <w:rFonts w:eastAsia="Times New Roman"/>
          <w:b w:val="0"/>
          <w:sz w:val="20"/>
          <w:szCs w:val="20"/>
          <w:lang w:eastAsia="de-DE"/>
        </w:rPr>
        <w:t>en</w:t>
      </w:r>
      <w:proofErr w:type="spellEnd"/>
      <w:r>
        <w:rPr>
          <w:rFonts w:eastAsia="Times New Roman"/>
          <w:b w:val="0"/>
          <w:sz w:val="20"/>
          <w:szCs w:val="20"/>
          <w:lang w:eastAsia="de-DE"/>
        </w:rPr>
        <w:t>. All diese Trends unterstreichen die Notwendigkeit kontinuierlicher Identitätsprüfung, Gerätevalidierung und Durchsetzung von Zugriffsrichtlinien auf Sitzungsebene – und zwar im effektiven Zusammenspiel. Ein Einsatz von separaten, isolierten Tools ist hier wenig erfolgversprechend.</w:t>
      </w:r>
    </w:p>
    <w:p w14:paraId="5B270672" w14:textId="77777777" w:rsidR="008D1A6A" w:rsidRDefault="008D1A6A">
      <w:pPr>
        <w:pStyle w:val="Textkrper"/>
        <w:spacing w:line="288" w:lineRule="auto"/>
        <w:ind w:right="1134"/>
        <w:rPr>
          <w:rFonts w:eastAsia="Times New Roman"/>
          <w:b w:val="0"/>
          <w:sz w:val="20"/>
          <w:szCs w:val="20"/>
          <w:lang w:eastAsia="de-DE"/>
        </w:rPr>
      </w:pPr>
    </w:p>
    <w:p w14:paraId="032F3BC1" w14:textId="77777777" w:rsidR="008D1A6A" w:rsidRDefault="00000000">
      <w:pPr>
        <w:pStyle w:val="Textkrper"/>
        <w:spacing w:line="288" w:lineRule="auto"/>
        <w:ind w:right="1134"/>
        <w:rPr>
          <w:rFonts w:eastAsia="Times New Roman"/>
          <w:bCs/>
          <w:sz w:val="20"/>
          <w:szCs w:val="20"/>
          <w:lang w:eastAsia="de-DE"/>
        </w:rPr>
      </w:pPr>
      <w:r>
        <w:rPr>
          <w:rFonts w:eastAsia="Times New Roman"/>
          <w:bCs/>
          <w:sz w:val="20"/>
          <w:szCs w:val="20"/>
          <w:lang w:eastAsia="de-DE"/>
        </w:rPr>
        <w:t>Zwischen Wunsch und Wirklichkeit</w:t>
      </w:r>
    </w:p>
    <w:p w14:paraId="461403A6" w14:textId="53030946" w:rsidR="008D1A6A" w:rsidRDefault="00000000">
      <w:pPr>
        <w:pStyle w:val="Textkrper"/>
        <w:spacing w:line="288" w:lineRule="auto"/>
        <w:ind w:right="1134"/>
        <w:rPr>
          <w:rFonts w:eastAsia="Times New Roman"/>
          <w:b w:val="0"/>
          <w:sz w:val="20"/>
          <w:szCs w:val="20"/>
          <w:lang w:eastAsia="de-DE"/>
        </w:rPr>
      </w:pPr>
      <w:r>
        <w:rPr>
          <w:rFonts w:eastAsia="Times New Roman"/>
          <w:b w:val="0"/>
          <w:sz w:val="20"/>
          <w:szCs w:val="20"/>
          <w:lang w:eastAsia="de-DE"/>
        </w:rPr>
        <w:t xml:space="preserve">Für Unternehmen liefert das Zero-Trust-Prinzip bereits seit einem Jahrzehnt einen erstrebenswerten Ansatz, jedoch gestaltete sich die Umsetzung bisher oftmals kompliziert – inklusive störendem Einfluss im täglichen Geschäftsbetrieb. Mit dem Zero Trust Bundle zeigt WatchGuard jetzt einen einfachen und </w:t>
      </w:r>
      <w:proofErr w:type="spellStart"/>
      <w:r>
        <w:rPr>
          <w:rFonts w:eastAsia="Times New Roman"/>
          <w:b w:val="0"/>
          <w:sz w:val="20"/>
          <w:szCs w:val="20"/>
          <w:lang w:eastAsia="de-DE"/>
        </w:rPr>
        <w:t>äu</w:t>
      </w:r>
      <w:r w:rsidR="00607944">
        <w:rPr>
          <w:rFonts w:eastAsia="Times New Roman"/>
          <w:b w:val="0"/>
          <w:sz w:val="20"/>
          <w:szCs w:val="20"/>
          <w:lang w:eastAsia="de-DE"/>
        </w:rPr>
        <w:t>ss</w:t>
      </w:r>
      <w:r>
        <w:rPr>
          <w:rFonts w:eastAsia="Times New Roman"/>
          <w:b w:val="0"/>
          <w:sz w:val="20"/>
          <w:szCs w:val="20"/>
          <w:lang w:eastAsia="de-DE"/>
        </w:rPr>
        <w:t>erst</w:t>
      </w:r>
      <w:proofErr w:type="spellEnd"/>
      <w:r>
        <w:rPr>
          <w:rFonts w:eastAsia="Times New Roman"/>
          <w:b w:val="0"/>
          <w:sz w:val="20"/>
          <w:szCs w:val="20"/>
          <w:lang w:eastAsia="de-DE"/>
        </w:rPr>
        <w:t xml:space="preserve"> praktikablen Weg zur Realisierung auf – ganz ohne die Komplexität oder den Aufwand klassischer Enterprise-</w:t>
      </w:r>
      <w:r w:rsidR="00A921BB">
        <w:rPr>
          <w:rFonts w:eastAsia="Times New Roman"/>
          <w:b w:val="0"/>
          <w:sz w:val="20"/>
          <w:szCs w:val="20"/>
          <w:lang w:eastAsia="de-DE"/>
        </w:rPr>
        <w:t>Produkte</w:t>
      </w:r>
      <w:r>
        <w:rPr>
          <w:rFonts w:eastAsia="Times New Roman"/>
          <w:b w:val="0"/>
          <w:sz w:val="20"/>
          <w:szCs w:val="20"/>
          <w:lang w:eastAsia="de-DE"/>
        </w:rPr>
        <w:t xml:space="preserve">. Das Bundle baut auf der kürzlich eingeführten </w:t>
      </w:r>
      <w:hyperlink r:id="rId9" w:history="1">
        <w:proofErr w:type="spellStart"/>
        <w:r w:rsidR="008D1A6A" w:rsidRPr="00E556B8">
          <w:rPr>
            <w:rStyle w:val="Hyperlink"/>
            <w:rFonts w:eastAsia="Times New Roman"/>
            <w:b w:val="0"/>
            <w:sz w:val="20"/>
            <w:szCs w:val="20"/>
            <w:lang w:eastAsia="de-DE"/>
          </w:rPr>
          <w:t>FireCloud</w:t>
        </w:r>
        <w:proofErr w:type="spellEnd"/>
        <w:r w:rsidR="008D1A6A" w:rsidRPr="00E556B8">
          <w:rPr>
            <w:rStyle w:val="Hyperlink"/>
            <w:rFonts w:eastAsia="Times New Roman"/>
            <w:b w:val="0"/>
            <w:sz w:val="20"/>
            <w:szCs w:val="20"/>
            <w:lang w:eastAsia="de-DE"/>
          </w:rPr>
          <w:t xml:space="preserve"> Total Access</w:t>
        </w:r>
      </w:hyperlink>
      <w:r w:rsidR="008D1A6A">
        <w:rPr>
          <w:rFonts w:eastAsia="Times New Roman"/>
          <w:b w:val="0"/>
          <w:sz w:val="20"/>
          <w:szCs w:val="20"/>
          <w:lang w:eastAsia="de-DE"/>
        </w:rPr>
        <w:t>-Lösung</w:t>
      </w:r>
      <w:r>
        <w:rPr>
          <w:rFonts w:eastAsia="Times New Roman"/>
          <w:b w:val="0"/>
          <w:sz w:val="20"/>
          <w:szCs w:val="20"/>
          <w:lang w:eastAsia="de-DE"/>
        </w:rPr>
        <w:t xml:space="preserve"> auf und erweitert dieses cloudbasierte Konzept für modernen, sicheren Zugriff um ein vollständiges Zero-Trust-Framework. </w:t>
      </w:r>
    </w:p>
    <w:p w14:paraId="08DCDB6A" w14:textId="77777777" w:rsidR="008D1A6A" w:rsidRDefault="008D1A6A">
      <w:pPr>
        <w:pStyle w:val="Textkrper"/>
        <w:spacing w:line="288" w:lineRule="auto"/>
        <w:ind w:right="1134"/>
        <w:rPr>
          <w:rFonts w:eastAsia="Times New Roman"/>
          <w:b w:val="0"/>
          <w:sz w:val="20"/>
          <w:szCs w:val="20"/>
          <w:lang w:eastAsia="de-DE"/>
        </w:rPr>
      </w:pPr>
    </w:p>
    <w:p w14:paraId="1BDA2F67" w14:textId="1563AEDB" w:rsidR="008D1A6A" w:rsidRDefault="00000000">
      <w:pPr>
        <w:pStyle w:val="Textkrper"/>
        <w:spacing w:line="288" w:lineRule="auto"/>
        <w:ind w:right="1134"/>
        <w:rPr>
          <w:rFonts w:eastAsia="Times New Roman"/>
          <w:b w:val="0"/>
          <w:sz w:val="20"/>
          <w:szCs w:val="20"/>
          <w:lang w:eastAsia="de-DE"/>
        </w:rPr>
      </w:pPr>
      <w:r>
        <w:rPr>
          <w:rFonts w:eastAsia="Times New Roman"/>
          <w:b w:val="0"/>
          <w:sz w:val="20"/>
          <w:szCs w:val="20"/>
          <w:lang w:eastAsia="de-DE"/>
        </w:rPr>
        <w:t xml:space="preserve">„Das ist unser erster </w:t>
      </w:r>
      <w:proofErr w:type="spellStart"/>
      <w:r>
        <w:rPr>
          <w:rFonts w:eastAsia="Times New Roman"/>
          <w:b w:val="0"/>
          <w:sz w:val="20"/>
          <w:szCs w:val="20"/>
          <w:lang w:eastAsia="de-DE"/>
        </w:rPr>
        <w:t>gro</w:t>
      </w:r>
      <w:r w:rsidR="00607944">
        <w:rPr>
          <w:rFonts w:eastAsia="Times New Roman"/>
          <w:b w:val="0"/>
          <w:sz w:val="20"/>
          <w:szCs w:val="20"/>
          <w:lang w:eastAsia="de-DE"/>
        </w:rPr>
        <w:t>ss</w:t>
      </w:r>
      <w:r>
        <w:rPr>
          <w:rFonts w:eastAsia="Times New Roman"/>
          <w:b w:val="0"/>
          <w:sz w:val="20"/>
          <w:szCs w:val="20"/>
          <w:lang w:eastAsia="de-DE"/>
        </w:rPr>
        <w:t>er</w:t>
      </w:r>
      <w:proofErr w:type="spellEnd"/>
      <w:r>
        <w:rPr>
          <w:rFonts w:eastAsia="Times New Roman"/>
          <w:b w:val="0"/>
          <w:sz w:val="20"/>
          <w:szCs w:val="20"/>
          <w:lang w:eastAsia="de-DE"/>
        </w:rPr>
        <w:t xml:space="preserve"> Schritt zur Vereinheitlichung von Zero Trust und zur Modernisierung der Netzwerksicherheit“, erklärt Andrew Young, Chief </w:t>
      </w:r>
      <w:proofErr w:type="spellStart"/>
      <w:r>
        <w:rPr>
          <w:rFonts w:eastAsia="Times New Roman"/>
          <w:b w:val="0"/>
          <w:sz w:val="20"/>
          <w:szCs w:val="20"/>
          <w:lang w:eastAsia="de-DE"/>
        </w:rPr>
        <w:t>Product</w:t>
      </w:r>
      <w:proofErr w:type="spellEnd"/>
      <w:r>
        <w:rPr>
          <w:rFonts w:eastAsia="Times New Roman"/>
          <w:b w:val="0"/>
          <w:sz w:val="20"/>
          <w:szCs w:val="20"/>
          <w:lang w:eastAsia="de-DE"/>
        </w:rPr>
        <w:t xml:space="preserve"> Officer und Senior </w:t>
      </w:r>
      <w:proofErr w:type="spellStart"/>
      <w:r>
        <w:rPr>
          <w:rFonts w:eastAsia="Times New Roman"/>
          <w:b w:val="0"/>
          <w:sz w:val="20"/>
          <w:szCs w:val="20"/>
          <w:lang w:eastAsia="de-DE"/>
        </w:rPr>
        <w:t>Vice</w:t>
      </w:r>
      <w:proofErr w:type="spellEnd"/>
      <w:r>
        <w:rPr>
          <w:rFonts w:eastAsia="Times New Roman"/>
          <w:b w:val="0"/>
          <w:sz w:val="20"/>
          <w:szCs w:val="20"/>
          <w:lang w:eastAsia="de-DE"/>
        </w:rPr>
        <w:t xml:space="preserve"> </w:t>
      </w:r>
      <w:proofErr w:type="spellStart"/>
      <w:r>
        <w:rPr>
          <w:rFonts w:eastAsia="Times New Roman"/>
          <w:b w:val="0"/>
          <w:sz w:val="20"/>
          <w:szCs w:val="20"/>
          <w:lang w:eastAsia="de-DE"/>
        </w:rPr>
        <w:t>President</w:t>
      </w:r>
      <w:proofErr w:type="spellEnd"/>
      <w:r>
        <w:rPr>
          <w:rFonts w:eastAsia="Times New Roman"/>
          <w:b w:val="0"/>
          <w:sz w:val="20"/>
          <w:szCs w:val="20"/>
          <w:lang w:eastAsia="de-DE"/>
        </w:rPr>
        <w:t xml:space="preserve"> </w:t>
      </w:r>
      <w:proofErr w:type="spellStart"/>
      <w:r>
        <w:rPr>
          <w:rFonts w:eastAsia="Times New Roman"/>
          <w:b w:val="0"/>
          <w:sz w:val="20"/>
          <w:szCs w:val="20"/>
          <w:lang w:eastAsia="de-DE"/>
        </w:rPr>
        <w:t>Product</w:t>
      </w:r>
      <w:proofErr w:type="spellEnd"/>
      <w:r>
        <w:rPr>
          <w:rFonts w:eastAsia="Times New Roman"/>
          <w:b w:val="0"/>
          <w:sz w:val="20"/>
          <w:szCs w:val="20"/>
          <w:lang w:eastAsia="de-DE"/>
        </w:rPr>
        <w:t xml:space="preserve"> Management bei WatchGuard. „Zero Trust funktioniert, </w:t>
      </w:r>
      <w:r>
        <w:rPr>
          <w:rFonts w:eastAsia="Times New Roman"/>
          <w:b w:val="0"/>
          <w:sz w:val="20"/>
          <w:szCs w:val="20"/>
          <w:lang w:eastAsia="de-DE"/>
        </w:rPr>
        <w:lastRenderedPageBreak/>
        <w:t xml:space="preserve">wenn Tools zusammenarbeiten. Unser Zero Trust Bundle vereint Identität, Geräte, Zugriff und Extended </w:t>
      </w:r>
      <w:proofErr w:type="spellStart"/>
      <w:r>
        <w:rPr>
          <w:rFonts w:eastAsia="Times New Roman"/>
          <w:b w:val="0"/>
          <w:sz w:val="20"/>
          <w:szCs w:val="20"/>
          <w:lang w:eastAsia="de-DE"/>
        </w:rPr>
        <w:t>Detection</w:t>
      </w:r>
      <w:proofErr w:type="spellEnd"/>
      <w:r>
        <w:rPr>
          <w:rFonts w:eastAsia="Times New Roman"/>
          <w:b w:val="0"/>
          <w:sz w:val="20"/>
          <w:szCs w:val="20"/>
          <w:lang w:eastAsia="de-DE"/>
        </w:rPr>
        <w:t xml:space="preserve"> and Response (XDR), sodass unsere Partner stärkere Sicherheit und skalierbare Dienste im Sinne ihrer Kunden bereitstellen können. Im Laufe der Zeit wird sich unser Zero-Trust-Konzept direkt auf den Netzwerkstack selbst ausweiten und ein kontinuierliches, adaptives Sicherheitsmodell schaffen.“</w:t>
      </w:r>
    </w:p>
    <w:p w14:paraId="1C59373F" w14:textId="77777777" w:rsidR="008D1A6A" w:rsidRDefault="008D1A6A">
      <w:pPr>
        <w:pStyle w:val="Textkrper"/>
        <w:spacing w:line="288" w:lineRule="auto"/>
        <w:ind w:right="1134"/>
        <w:rPr>
          <w:rFonts w:eastAsia="Times New Roman"/>
          <w:b w:val="0"/>
          <w:sz w:val="20"/>
          <w:szCs w:val="20"/>
          <w:lang w:eastAsia="de-DE"/>
        </w:rPr>
      </w:pPr>
    </w:p>
    <w:p w14:paraId="25A9218A" w14:textId="77777777" w:rsidR="008D1A6A" w:rsidRDefault="00000000">
      <w:pPr>
        <w:pStyle w:val="Textkrper"/>
        <w:spacing w:line="288" w:lineRule="auto"/>
        <w:ind w:right="1134"/>
        <w:rPr>
          <w:rFonts w:eastAsia="Times New Roman"/>
          <w:bCs/>
          <w:sz w:val="20"/>
          <w:szCs w:val="20"/>
          <w:lang w:eastAsia="de-DE"/>
        </w:rPr>
      </w:pPr>
      <w:r>
        <w:rPr>
          <w:rFonts w:eastAsia="Times New Roman"/>
          <w:bCs/>
          <w:sz w:val="20"/>
          <w:szCs w:val="20"/>
          <w:lang w:eastAsia="de-DE"/>
        </w:rPr>
        <w:t>Einfach zu Zero Trust dank schlagkräftiger Kombi</w:t>
      </w:r>
    </w:p>
    <w:p w14:paraId="647860B4"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Das WatchGuard Zero Trust Bundle verbindet Identitätssicherheit, Geräteintegrität und sicheren Zugriff über eine einzige, cloudbasierte Architektur, die sich mit minimalem Aufwand bereitstellen lässt. Im Kauf ist die vollständige Zero-Trust-Lösung enthalten – ein einzelner Agent sorgt dabei für nahtlose Integration in die bestehende Umgebung. Zu den zentralen Komponenten gehören:</w:t>
      </w:r>
    </w:p>
    <w:p w14:paraId="7922D4B8" w14:textId="77777777" w:rsidR="008D1A6A" w:rsidRDefault="008D1A6A">
      <w:pPr>
        <w:pStyle w:val="Textkrper"/>
        <w:spacing w:line="288" w:lineRule="auto"/>
        <w:ind w:right="1134"/>
        <w:rPr>
          <w:bCs/>
          <w:color w:val="000000" w:themeColor="text1"/>
          <w:sz w:val="20"/>
          <w:szCs w:val="20"/>
        </w:rPr>
      </w:pPr>
    </w:p>
    <w:p w14:paraId="4847964C" w14:textId="6D04FD38" w:rsidR="008D1A6A" w:rsidRDefault="008D1A6A">
      <w:pPr>
        <w:pStyle w:val="Textkrper"/>
        <w:numPr>
          <w:ilvl w:val="0"/>
          <w:numId w:val="1"/>
        </w:numPr>
        <w:spacing w:line="288" w:lineRule="auto"/>
        <w:ind w:left="709" w:right="1134" w:hanging="283"/>
        <w:rPr>
          <w:bCs/>
          <w:color w:val="000000" w:themeColor="text1"/>
          <w:sz w:val="20"/>
          <w:szCs w:val="20"/>
        </w:rPr>
      </w:pPr>
      <w:hyperlink r:id="rId10">
        <w:r>
          <w:rPr>
            <w:bCs/>
            <w:sz w:val="20"/>
            <w:szCs w:val="20"/>
          </w:rPr>
          <w:t>Total Identity Security</w:t>
        </w:r>
      </w:hyperlink>
      <w:r>
        <w:rPr>
          <w:b w:val="0"/>
          <w:color w:val="000000" w:themeColor="text1"/>
          <w:sz w:val="20"/>
          <w:szCs w:val="20"/>
        </w:rPr>
        <w:t xml:space="preserve"> – Adaptive Multi</w:t>
      </w:r>
      <w:r w:rsidR="00184DC9">
        <w:rPr>
          <w:b w:val="0"/>
          <w:color w:val="000000" w:themeColor="text1"/>
          <w:sz w:val="20"/>
          <w:szCs w:val="20"/>
        </w:rPr>
        <w:t>f</w:t>
      </w:r>
      <w:r>
        <w:rPr>
          <w:b w:val="0"/>
          <w:color w:val="000000" w:themeColor="text1"/>
          <w:sz w:val="20"/>
          <w:szCs w:val="20"/>
        </w:rPr>
        <w:t xml:space="preserve">aktor-Authentifizierung (MFA), Single </w:t>
      </w:r>
      <w:proofErr w:type="spellStart"/>
      <w:r>
        <w:rPr>
          <w:b w:val="0"/>
          <w:color w:val="000000" w:themeColor="text1"/>
          <w:sz w:val="20"/>
          <w:szCs w:val="20"/>
        </w:rPr>
        <w:t>Sign</w:t>
      </w:r>
      <w:proofErr w:type="spellEnd"/>
      <w:r>
        <w:rPr>
          <w:b w:val="0"/>
          <w:color w:val="000000" w:themeColor="text1"/>
          <w:sz w:val="20"/>
          <w:szCs w:val="20"/>
        </w:rPr>
        <w:t>-On (SSO), Risikobewertung und Dark</w:t>
      </w:r>
      <w:r w:rsidR="00931791">
        <w:rPr>
          <w:b w:val="0"/>
          <w:color w:val="000000" w:themeColor="text1"/>
          <w:sz w:val="20"/>
          <w:szCs w:val="20"/>
        </w:rPr>
        <w:t xml:space="preserve"> </w:t>
      </w:r>
      <w:r>
        <w:rPr>
          <w:b w:val="0"/>
          <w:color w:val="000000" w:themeColor="text1"/>
          <w:sz w:val="20"/>
          <w:szCs w:val="20"/>
        </w:rPr>
        <w:t>Web</w:t>
      </w:r>
      <w:r w:rsidR="00931791">
        <w:rPr>
          <w:b w:val="0"/>
          <w:color w:val="000000" w:themeColor="text1"/>
          <w:sz w:val="20"/>
          <w:szCs w:val="20"/>
        </w:rPr>
        <w:t xml:space="preserve"> </w:t>
      </w:r>
      <w:proofErr w:type="spellStart"/>
      <w:r>
        <w:rPr>
          <w:b w:val="0"/>
          <w:color w:val="000000" w:themeColor="text1"/>
          <w:sz w:val="20"/>
          <w:szCs w:val="20"/>
        </w:rPr>
        <w:t>Credential</w:t>
      </w:r>
      <w:proofErr w:type="spellEnd"/>
      <w:r w:rsidR="00931791">
        <w:rPr>
          <w:b w:val="0"/>
          <w:color w:val="000000" w:themeColor="text1"/>
          <w:sz w:val="20"/>
          <w:szCs w:val="20"/>
        </w:rPr>
        <w:t xml:space="preserve"> </w:t>
      </w:r>
      <w:r>
        <w:rPr>
          <w:b w:val="0"/>
          <w:color w:val="000000" w:themeColor="text1"/>
          <w:sz w:val="20"/>
          <w:szCs w:val="20"/>
        </w:rPr>
        <w:t xml:space="preserve">Monitoring (DWCM) zur frühzeitigen Erkennung kompromittierter Zugangsdaten </w:t>
      </w:r>
    </w:p>
    <w:p w14:paraId="7D5DBA65" w14:textId="77777777" w:rsidR="008D1A6A" w:rsidRDefault="008D1A6A">
      <w:pPr>
        <w:pStyle w:val="Textkrper"/>
        <w:numPr>
          <w:ilvl w:val="0"/>
          <w:numId w:val="1"/>
        </w:numPr>
        <w:spacing w:line="288" w:lineRule="auto"/>
        <w:ind w:left="709" w:right="1134" w:hanging="283"/>
        <w:rPr>
          <w:b w:val="0"/>
          <w:color w:val="000000" w:themeColor="text1"/>
          <w:sz w:val="20"/>
          <w:szCs w:val="20"/>
        </w:rPr>
      </w:pPr>
      <w:hyperlink r:id="rId11">
        <w:proofErr w:type="spellStart"/>
        <w:r>
          <w:rPr>
            <w:bCs/>
            <w:sz w:val="20"/>
            <w:szCs w:val="20"/>
          </w:rPr>
          <w:t>Endpoint</w:t>
        </w:r>
        <w:proofErr w:type="spellEnd"/>
        <w:r>
          <w:rPr>
            <w:bCs/>
            <w:sz w:val="20"/>
            <w:szCs w:val="20"/>
          </w:rPr>
          <w:t xml:space="preserve"> </w:t>
        </w:r>
        <w:proofErr w:type="spellStart"/>
        <w:r>
          <w:rPr>
            <w:bCs/>
            <w:sz w:val="20"/>
            <w:szCs w:val="20"/>
          </w:rPr>
          <w:t>Protection</w:t>
        </w:r>
        <w:proofErr w:type="spellEnd"/>
        <w:r>
          <w:rPr>
            <w:bCs/>
            <w:sz w:val="20"/>
            <w:szCs w:val="20"/>
          </w:rPr>
          <w:t xml:space="preserve">, </w:t>
        </w:r>
        <w:proofErr w:type="spellStart"/>
        <w:r>
          <w:rPr>
            <w:bCs/>
            <w:sz w:val="20"/>
            <w:szCs w:val="20"/>
          </w:rPr>
          <w:t>Detection</w:t>
        </w:r>
        <w:proofErr w:type="spellEnd"/>
        <w:r>
          <w:rPr>
            <w:bCs/>
            <w:sz w:val="20"/>
            <w:szCs w:val="20"/>
          </w:rPr>
          <w:t xml:space="preserve"> &amp; Response (EPDR)</w:t>
        </w:r>
      </w:hyperlink>
      <w:r>
        <w:rPr>
          <w:b w:val="0"/>
          <w:color w:val="000000" w:themeColor="text1"/>
          <w:sz w:val="20"/>
          <w:szCs w:val="20"/>
        </w:rPr>
        <w:t xml:space="preserve"> – Kontinuierliche Gerätezustandsprüfungen, automatisierte Prävention und Zero-Trust-Anwendungskontrolle</w:t>
      </w:r>
    </w:p>
    <w:p w14:paraId="0FC4BE43" w14:textId="2E1B9CE5" w:rsidR="008D1A6A" w:rsidRDefault="008D1A6A">
      <w:pPr>
        <w:pStyle w:val="Textkrper"/>
        <w:numPr>
          <w:ilvl w:val="0"/>
          <w:numId w:val="1"/>
        </w:numPr>
        <w:spacing w:line="288" w:lineRule="auto"/>
        <w:ind w:left="709" w:right="1134" w:hanging="283"/>
        <w:rPr>
          <w:b w:val="0"/>
          <w:color w:val="000000" w:themeColor="text1"/>
          <w:sz w:val="20"/>
          <w:szCs w:val="20"/>
        </w:rPr>
      </w:pPr>
      <w:hyperlink r:id="rId12">
        <w:proofErr w:type="spellStart"/>
        <w:r>
          <w:rPr>
            <w:bCs/>
            <w:sz w:val="20"/>
            <w:szCs w:val="20"/>
          </w:rPr>
          <w:t>FireCloud</w:t>
        </w:r>
        <w:proofErr w:type="spellEnd"/>
        <w:r>
          <w:rPr>
            <w:bCs/>
            <w:sz w:val="20"/>
            <w:szCs w:val="20"/>
          </w:rPr>
          <w:t xml:space="preserve"> Total Access</w:t>
        </w:r>
      </w:hyperlink>
      <w:r>
        <w:rPr>
          <w:b w:val="0"/>
          <w:color w:val="000000" w:themeColor="text1"/>
          <w:sz w:val="20"/>
          <w:szCs w:val="20"/>
        </w:rPr>
        <w:t xml:space="preserve"> – Cloudbasierte Firewall-</w:t>
      </w:r>
      <w:proofErr w:type="spellStart"/>
      <w:r>
        <w:rPr>
          <w:b w:val="0"/>
          <w:color w:val="000000" w:themeColor="text1"/>
          <w:sz w:val="20"/>
          <w:szCs w:val="20"/>
        </w:rPr>
        <w:t>as</w:t>
      </w:r>
      <w:proofErr w:type="spellEnd"/>
      <w:r>
        <w:rPr>
          <w:b w:val="0"/>
          <w:color w:val="000000" w:themeColor="text1"/>
          <w:sz w:val="20"/>
          <w:szCs w:val="20"/>
        </w:rPr>
        <w:t>-a-service</w:t>
      </w:r>
      <w:r w:rsidR="002047C6">
        <w:rPr>
          <w:b w:val="0"/>
          <w:color w:val="000000" w:themeColor="text1"/>
          <w:sz w:val="20"/>
          <w:szCs w:val="20"/>
        </w:rPr>
        <w:t>-Funktionalität</w:t>
      </w:r>
      <w:r>
        <w:rPr>
          <w:b w:val="0"/>
          <w:color w:val="000000" w:themeColor="text1"/>
          <w:sz w:val="20"/>
          <w:szCs w:val="20"/>
        </w:rPr>
        <w:t xml:space="preserve"> (</w:t>
      </w:r>
      <w:proofErr w:type="spellStart"/>
      <w:r>
        <w:rPr>
          <w:b w:val="0"/>
          <w:color w:val="000000" w:themeColor="text1"/>
          <w:sz w:val="20"/>
          <w:szCs w:val="20"/>
        </w:rPr>
        <w:t>F</w:t>
      </w:r>
      <w:r w:rsidR="004D39F9">
        <w:rPr>
          <w:b w:val="0"/>
          <w:color w:val="000000" w:themeColor="text1"/>
          <w:sz w:val="20"/>
          <w:szCs w:val="20"/>
        </w:rPr>
        <w:t>W</w:t>
      </w:r>
      <w:r>
        <w:rPr>
          <w:b w:val="0"/>
          <w:color w:val="000000" w:themeColor="text1"/>
          <w:sz w:val="20"/>
          <w:szCs w:val="20"/>
        </w:rPr>
        <w:t>aa</w:t>
      </w:r>
      <w:r w:rsidR="009E5605">
        <w:rPr>
          <w:b w:val="0"/>
          <w:color w:val="000000" w:themeColor="text1"/>
          <w:sz w:val="20"/>
          <w:szCs w:val="20"/>
        </w:rPr>
        <w:t>S</w:t>
      </w:r>
      <w:proofErr w:type="spellEnd"/>
      <w:r>
        <w:rPr>
          <w:b w:val="0"/>
          <w:color w:val="000000" w:themeColor="text1"/>
          <w:sz w:val="20"/>
          <w:szCs w:val="20"/>
        </w:rPr>
        <w:t>), Secure Web Gateway (SWG) und Zero Trust Network Access (ZTNA) ersetzen VPN durch schnellen, kontextbasierten Zugriff</w:t>
      </w:r>
    </w:p>
    <w:p w14:paraId="09C3D6B3" w14:textId="77777777" w:rsidR="008D1A6A" w:rsidRDefault="008D1A6A">
      <w:pPr>
        <w:pStyle w:val="Textkrper"/>
        <w:spacing w:line="288" w:lineRule="auto"/>
        <w:ind w:right="1134"/>
        <w:rPr>
          <w:b w:val="0"/>
          <w:color w:val="000000" w:themeColor="text1"/>
          <w:sz w:val="20"/>
          <w:szCs w:val="20"/>
        </w:rPr>
      </w:pPr>
    </w:p>
    <w:p w14:paraId="39105A02"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Alle Funktionen werden zentral über WatchGuard Cloud und </w:t>
      </w:r>
      <w:proofErr w:type="spellStart"/>
      <w:r>
        <w:rPr>
          <w:b w:val="0"/>
          <w:color w:val="000000" w:themeColor="text1"/>
          <w:sz w:val="20"/>
          <w:szCs w:val="20"/>
        </w:rPr>
        <w:t>ThreatSync</w:t>
      </w:r>
      <w:proofErr w:type="spellEnd"/>
      <w:r>
        <w:rPr>
          <w:b w:val="0"/>
          <w:color w:val="000000" w:themeColor="text1"/>
          <w:sz w:val="20"/>
          <w:szCs w:val="20"/>
        </w:rPr>
        <w:t xml:space="preserve"> XDR gesteuert – inklusive vollständiger Korrelation, automatisierter Abwehr, vereinfachter Lizenzierung und effizientem Mehrmandanten-Betrieb für MSP. Die fortlaufende Zero-Trust-Kontrolle ist jederzeit gewährleistet.</w:t>
      </w:r>
    </w:p>
    <w:p w14:paraId="4359D56B" w14:textId="77777777" w:rsidR="008D1A6A" w:rsidRDefault="008D1A6A">
      <w:pPr>
        <w:pStyle w:val="Textkrper"/>
        <w:spacing w:line="288" w:lineRule="auto"/>
        <w:ind w:right="1134"/>
        <w:rPr>
          <w:b w:val="0"/>
          <w:color w:val="000000" w:themeColor="text1"/>
          <w:sz w:val="20"/>
          <w:szCs w:val="20"/>
        </w:rPr>
      </w:pPr>
    </w:p>
    <w:p w14:paraId="685D49C7"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Im Zuge dessen kommt nicht zuletzt das Dark Web </w:t>
      </w:r>
      <w:proofErr w:type="spellStart"/>
      <w:r>
        <w:rPr>
          <w:b w:val="0"/>
          <w:color w:val="000000" w:themeColor="text1"/>
          <w:sz w:val="20"/>
          <w:szCs w:val="20"/>
        </w:rPr>
        <w:t>Credential</w:t>
      </w:r>
      <w:proofErr w:type="spellEnd"/>
      <w:r>
        <w:rPr>
          <w:b w:val="0"/>
          <w:color w:val="000000" w:themeColor="text1"/>
          <w:sz w:val="20"/>
          <w:szCs w:val="20"/>
        </w:rPr>
        <w:t xml:space="preserve"> Monitoring (DWCM) als zentrale Erweiterung der Identitätssicherheitslösung von WatchGuard zum Tragen. Die Funktion ist in </w:t>
      </w:r>
      <w:proofErr w:type="spellStart"/>
      <w:r>
        <w:rPr>
          <w:b w:val="0"/>
          <w:color w:val="000000" w:themeColor="text1"/>
          <w:sz w:val="20"/>
          <w:szCs w:val="20"/>
        </w:rPr>
        <w:t>AuthPoint</w:t>
      </w:r>
      <w:proofErr w:type="spellEnd"/>
      <w:r>
        <w:rPr>
          <w:b w:val="0"/>
          <w:color w:val="000000" w:themeColor="text1"/>
          <w:sz w:val="20"/>
          <w:szCs w:val="20"/>
        </w:rPr>
        <w:t xml:space="preserve"> Total Identity Security integriert und setzt Zero Trust bereits vor der Anmeldung um, indem proaktiv nach kompromittierten Anmeldedaten gesucht wird, bevor Angreifer diese nutzen können. </w:t>
      </w:r>
    </w:p>
    <w:p w14:paraId="5DE44450" w14:textId="77777777" w:rsidR="008D1A6A" w:rsidRDefault="008D1A6A">
      <w:pPr>
        <w:pStyle w:val="Textkrper"/>
        <w:spacing w:line="288" w:lineRule="auto"/>
        <w:ind w:right="1134"/>
        <w:rPr>
          <w:b w:val="0"/>
          <w:color w:val="000000" w:themeColor="text1"/>
          <w:sz w:val="20"/>
          <w:szCs w:val="20"/>
        </w:rPr>
      </w:pPr>
    </w:p>
    <w:p w14:paraId="191D95EB" w14:textId="77777777" w:rsidR="008D1A6A" w:rsidRDefault="00000000">
      <w:pPr>
        <w:pStyle w:val="Textkrper"/>
        <w:spacing w:line="288" w:lineRule="auto"/>
        <w:ind w:right="1134"/>
        <w:rPr>
          <w:bCs/>
          <w:color w:val="000000" w:themeColor="text1"/>
          <w:sz w:val="20"/>
          <w:szCs w:val="20"/>
        </w:rPr>
      </w:pPr>
      <w:r>
        <w:rPr>
          <w:bCs/>
          <w:color w:val="000000" w:themeColor="text1"/>
          <w:sz w:val="20"/>
          <w:szCs w:val="20"/>
        </w:rPr>
        <w:t>Natives Zusammenspiel als Zünglein an der Waage</w:t>
      </w:r>
    </w:p>
    <w:p w14:paraId="1F0D1E95" w14:textId="7B16A0E0"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„Die Architektur von WatchGuard überzeugt, weil die Funktionen für Identitätsschutz, Geräteintegrität und zur Durchsetzung von Zugangsrichtlinien nativ über eine einzige, konsolidierte Steuerungsebene laufen“, so Pete </w:t>
      </w:r>
      <w:proofErr w:type="spellStart"/>
      <w:r>
        <w:rPr>
          <w:b w:val="0"/>
          <w:color w:val="000000" w:themeColor="text1"/>
          <w:sz w:val="20"/>
          <w:szCs w:val="20"/>
        </w:rPr>
        <w:t>Finalle</w:t>
      </w:r>
      <w:proofErr w:type="spellEnd"/>
      <w:r>
        <w:rPr>
          <w:b w:val="0"/>
          <w:color w:val="000000" w:themeColor="text1"/>
          <w:sz w:val="20"/>
          <w:szCs w:val="20"/>
        </w:rPr>
        <w:t xml:space="preserve">, Research Manager bei IDC (International Data Corporation) und Experte für Security-and-Trust-Praktiken. „Dieses </w:t>
      </w:r>
      <w:proofErr w:type="spellStart"/>
      <w:r>
        <w:rPr>
          <w:b w:val="0"/>
          <w:color w:val="000000" w:themeColor="text1"/>
          <w:sz w:val="20"/>
          <w:szCs w:val="20"/>
        </w:rPr>
        <w:t>Ma</w:t>
      </w:r>
      <w:r w:rsidR="00607944">
        <w:rPr>
          <w:b w:val="0"/>
          <w:color w:val="000000" w:themeColor="text1"/>
          <w:sz w:val="20"/>
          <w:szCs w:val="20"/>
        </w:rPr>
        <w:t>ss</w:t>
      </w:r>
      <w:proofErr w:type="spellEnd"/>
      <w:r>
        <w:rPr>
          <w:b w:val="0"/>
          <w:color w:val="000000" w:themeColor="text1"/>
          <w:sz w:val="20"/>
          <w:szCs w:val="20"/>
        </w:rPr>
        <w:t xml:space="preserve"> an Kohäsion schafft eindeutige Synergien, die kleinen und mittleren Unternehmen sowie </w:t>
      </w:r>
      <w:proofErr w:type="spellStart"/>
      <w:r>
        <w:rPr>
          <w:b w:val="0"/>
          <w:color w:val="000000" w:themeColor="text1"/>
          <w:sz w:val="20"/>
          <w:szCs w:val="20"/>
        </w:rPr>
        <w:t>Managed</w:t>
      </w:r>
      <w:proofErr w:type="spellEnd"/>
      <w:r>
        <w:rPr>
          <w:b w:val="0"/>
          <w:color w:val="000000" w:themeColor="text1"/>
          <w:sz w:val="20"/>
          <w:szCs w:val="20"/>
        </w:rPr>
        <w:t xml:space="preserve"> Service Provider</w:t>
      </w:r>
      <w:r w:rsidR="00EF34E0">
        <w:rPr>
          <w:b w:val="0"/>
          <w:color w:val="000000" w:themeColor="text1"/>
          <w:sz w:val="20"/>
          <w:szCs w:val="20"/>
        </w:rPr>
        <w:t>n</w:t>
      </w:r>
      <w:r>
        <w:rPr>
          <w:b w:val="0"/>
          <w:color w:val="000000" w:themeColor="text1"/>
          <w:sz w:val="20"/>
          <w:szCs w:val="20"/>
        </w:rPr>
        <w:t xml:space="preserve"> (MSP) normalerweise nicht zur Verfügung stehen. Dies bedeutet einen signifikanten Fortschritt, wenn es darum geht, Zero Trust einem breiteren Publikum zugänglich zu machen.“</w:t>
      </w:r>
    </w:p>
    <w:p w14:paraId="555AF52C" w14:textId="77777777" w:rsidR="008D1A6A" w:rsidRDefault="008D1A6A">
      <w:pPr>
        <w:pStyle w:val="Textkrper"/>
        <w:spacing w:line="288" w:lineRule="auto"/>
        <w:ind w:right="1134"/>
        <w:rPr>
          <w:b w:val="0"/>
          <w:color w:val="000000" w:themeColor="text1"/>
          <w:sz w:val="20"/>
          <w:szCs w:val="20"/>
        </w:rPr>
      </w:pPr>
    </w:p>
    <w:p w14:paraId="1D7C77EC" w14:textId="77777777" w:rsidR="008D1A6A" w:rsidRDefault="008D1A6A">
      <w:pPr>
        <w:pStyle w:val="Textkrper"/>
        <w:spacing w:line="288" w:lineRule="auto"/>
        <w:ind w:right="1134"/>
        <w:rPr>
          <w:bCs/>
          <w:color w:val="000000" w:themeColor="text1"/>
          <w:sz w:val="20"/>
          <w:szCs w:val="20"/>
        </w:rPr>
      </w:pPr>
    </w:p>
    <w:p w14:paraId="4B115188" w14:textId="77777777" w:rsidR="008D1A6A" w:rsidRDefault="00000000">
      <w:pPr>
        <w:pStyle w:val="Textkrper"/>
        <w:spacing w:line="288" w:lineRule="auto"/>
        <w:ind w:right="1134"/>
        <w:rPr>
          <w:bCs/>
          <w:color w:val="000000" w:themeColor="text1"/>
          <w:sz w:val="20"/>
          <w:szCs w:val="20"/>
        </w:rPr>
      </w:pPr>
      <w:r>
        <w:rPr>
          <w:bCs/>
          <w:color w:val="000000" w:themeColor="text1"/>
          <w:sz w:val="20"/>
          <w:szCs w:val="20"/>
        </w:rPr>
        <w:lastRenderedPageBreak/>
        <w:t>Mehrwert für Unternehmen und MSP</w:t>
      </w:r>
    </w:p>
    <w:p w14:paraId="72719C1B"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Das Zero Trust Bundle liefert Sicherheit auf Enterprise-Niveau ohne die damit üblicherweise einhergehende Komplexität. Die Vorteile im Überblick:</w:t>
      </w:r>
    </w:p>
    <w:p w14:paraId="0B7E9F83" w14:textId="77777777" w:rsidR="008D1A6A" w:rsidRDefault="008D1A6A">
      <w:pPr>
        <w:pStyle w:val="Textkrper"/>
        <w:spacing w:line="288" w:lineRule="auto"/>
        <w:ind w:right="1134"/>
        <w:rPr>
          <w:b w:val="0"/>
          <w:color w:val="000000" w:themeColor="text1"/>
          <w:sz w:val="20"/>
          <w:szCs w:val="20"/>
        </w:rPr>
      </w:pPr>
    </w:p>
    <w:p w14:paraId="13BA270E"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 xml:space="preserve">genaue, risikobasierte Zugriffsentscheidungen </w:t>
      </w:r>
    </w:p>
    <w:p w14:paraId="6778FBFB"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gehärtete Geräte, die in einem geprüften, sicheren Zustand bleiben</w:t>
      </w:r>
    </w:p>
    <w:p w14:paraId="2767B95B"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 xml:space="preserve">sicherer Zugriff ohne VPN-Engpässe </w:t>
      </w:r>
    </w:p>
    <w:p w14:paraId="513EA47C"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 xml:space="preserve">schnellere Eindämmung dank einheitlicher Signale </w:t>
      </w:r>
    </w:p>
    <w:p w14:paraId="6B390D60"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ein profitables, skalierbares Servicemodell für MSP</w:t>
      </w:r>
    </w:p>
    <w:p w14:paraId="06C2FE09" w14:textId="77777777" w:rsidR="008D1A6A" w:rsidRDefault="008D1A6A">
      <w:pPr>
        <w:pStyle w:val="Textkrper"/>
        <w:spacing w:line="288" w:lineRule="auto"/>
        <w:ind w:left="720" w:right="1134"/>
        <w:rPr>
          <w:b w:val="0"/>
          <w:color w:val="000000" w:themeColor="text1"/>
          <w:sz w:val="20"/>
          <w:szCs w:val="20"/>
        </w:rPr>
      </w:pPr>
    </w:p>
    <w:p w14:paraId="019850CD" w14:textId="56B7B454"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„Durch die Zusammenführung von Identitätsschutz, Gerätevalidierung und Zugriffskontrolle in einem Framework macht WatchGuard Zero Trust schnell implementierbar“, so </w:t>
      </w:r>
      <w:r w:rsidR="00035B1D">
        <w:rPr>
          <w:b w:val="0"/>
          <w:color w:val="000000" w:themeColor="text1"/>
          <w:sz w:val="20"/>
          <w:szCs w:val="20"/>
        </w:rPr>
        <w:t xml:space="preserve">Robert Weber, Geschäftsführer der </w:t>
      </w:r>
      <w:proofErr w:type="spellStart"/>
      <w:r w:rsidR="00035B1D">
        <w:rPr>
          <w:b w:val="0"/>
          <w:color w:val="000000" w:themeColor="text1"/>
          <w:sz w:val="20"/>
          <w:szCs w:val="20"/>
        </w:rPr>
        <w:t>Fornax</w:t>
      </w:r>
      <w:proofErr w:type="spellEnd"/>
      <w:r w:rsidR="00035B1D">
        <w:rPr>
          <w:b w:val="0"/>
          <w:color w:val="000000" w:themeColor="text1"/>
          <w:sz w:val="20"/>
          <w:szCs w:val="20"/>
        </w:rPr>
        <w:t xml:space="preserve"> GmbH</w:t>
      </w:r>
      <w:r>
        <w:rPr>
          <w:b w:val="0"/>
          <w:color w:val="000000" w:themeColor="text1"/>
          <w:sz w:val="20"/>
          <w:szCs w:val="20"/>
        </w:rPr>
        <w:t xml:space="preserve">. „Im Ergebnis bedeutet dies mehr Sicherheit für unsere Kunden ohne zusätzliche Komplexität.“ </w:t>
      </w:r>
    </w:p>
    <w:p w14:paraId="4B607E6C" w14:textId="77777777" w:rsidR="008D1A6A" w:rsidRDefault="008D1A6A">
      <w:pPr>
        <w:pStyle w:val="Textkrper"/>
        <w:spacing w:line="288" w:lineRule="auto"/>
        <w:ind w:right="1134"/>
        <w:rPr>
          <w:b w:val="0"/>
          <w:color w:val="000000" w:themeColor="text1"/>
          <w:sz w:val="20"/>
          <w:szCs w:val="20"/>
        </w:rPr>
      </w:pPr>
    </w:p>
    <w:p w14:paraId="4FDEC6AF"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Das Zero Trust Bundle ersetzt das bisherige Passport-Angebot und bietet einen skalierbaren, modernen Weg, Zero Trust mit kleinstmöglichem Aufwand einzuführen. </w:t>
      </w:r>
    </w:p>
    <w:p w14:paraId="3078F786" w14:textId="77777777" w:rsidR="008D1A6A" w:rsidRDefault="008D1A6A">
      <w:pPr>
        <w:pStyle w:val="Textkrper"/>
        <w:spacing w:line="288" w:lineRule="auto"/>
        <w:ind w:right="1134"/>
        <w:rPr>
          <w:b w:val="0"/>
          <w:color w:val="000000" w:themeColor="text1"/>
          <w:sz w:val="20"/>
          <w:szCs w:val="20"/>
        </w:rPr>
      </w:pPr>
    </w:p>
    <w:p w14:paraId="2BBCA241" w14:textId="342A9924" w:rsidR="008D1A6A" w:rsidRDefault="00000000">
      <w:pPr>
        <w:pStyle w:val="Textkrper"/>
        <w:spacing w:line="288" w:lineRule="auto"/>
        <w:ind w:right="1134"/>
        <w:rPr>
          <w:b w:val="0"/>
          <w:color w:val="000000" w:themeColor="text1"/>
          <w:sz w:val="20"/>
          <w:szCs w:val="20"/>
        </w:rPr>
      </w:pPr>
      <w:r>
        <w:rPr>
          <w:b w:val="0"/>
          <w:color w:val="000000" w:themeColor="text1"/>
          <w:sz w:val="20"/>
          <w:szCs w:val="20"/>
        </w:rPr>
        <w:t>Weitere Informationen sind online verfügbar</w:t>
      </w:r>
      <w:r w:rsidR="0054062D">
        <w:rPr>
          <w:b w:val="0"/>
          <w:color w:val="000000" w:themeColor="text1"/>
          <w:sz w:val="20"/>
          <w:szCs w:val="20"/>
        </w:rPr>
        <w:t xml:space="preserve">: </w:t>
      </w:r>
      <w:hyperlink r:id="rId13" w:history="1">
        <w:r w:rsidR="0054062D" w:rsidRPr="0054062D">
          <w:rPr>
            <w:rStyle w:val="Hyperlink"/>
            <w:b w:val="0"/>
            <w:sz w:val="20"/>
            <w:szCs w:val="20"/>
          </w:rPr>
          <w:t>WatchGuard Zero Trust Bundle</w:t>
        </w:r>
      </w:hyperlink>
      <w:r>
        <w:rPr>
          <w:b w:val="0"/>
          <w:color w:val="000000" w:themeColor="text1"/>
          <w:sz w:val="20"/>
          <w:szCs w:val="20"/>
        </w:rPr>
        <w:t xml:space="preserve">. </w:t>
      </w:r>
    </w:p>
    <w:p w14:paraId="09DDE12C" w14:textId="77777777" w:rsidR="005C18E7" w:rsidRDefault="005C18E7">
      <w:pPr>
        <w:pStyle w:val="Textkrper"/>
        <w:spacing w:line="288" w:lineRule="auto"/>
        <w:ind w:right="1134"/>
        <w:rPr>
          <w:b w:val="0"/>
          <w:color w:val="000000" w:themeColor="text1"/>
          <w:sz w:val="20"/>
          <w:szCs w:val="20"/>
        </w:rPr>
      </w:pPr>
    </w:p>
    <w:p w14:paraId="29363279" w14:textId="77777777" w:rsidR="005C18E7" w:rsidRDefault="005C18E7" w:rsidP="005C18E7">
      <w:pPr>
        <w:pStyle w:val="Textkrper"/>
        <w:spacing w:line="288" w:lineRule="auto"/>
        <w:ind w:right="567"/>
        <w:rPr>
          <w:rFonts w:eastAsia="MS Mincho"/>
          <w:sz w:val="20"/>
          <w:szCs w:val="20"/>
          <w:lang w:eastAsia="de-DE"/>
        </w:rPr>
      </w:pPr>
      <w:r w:rsidRPr="00B46453">
        <w:rPr>
          <w:rFonts w:eastAsia="MS Mincho"/>
          <w:sz w:val="20"/>
          <w:szCs w:val="20"/>
          <w:lang w:eastAsia="de-DE"/>
        </w:rPr>
        <w:t>Bildmaterial</w:t>
      </w:r>
    </w:p>
    <w:p w14:paraId="1F3B067A" w14:textId="77777777" w:rsidR="005C18E7" w:rsidRDefault="005C18E7" w:rsidP="005C18E7">
      <w:pPr>
        <w:pStyle w:val="Textkrper"/>
        <w:spacing w:line="288" w:lineRule="auto"/>
        <w:ind w:right="567"/>
        <w:rPr>
          <w:rFonts w:eastAsia="MS Mincho"/>
          <w:sz w:val="20"/>
          <w:szCs w:val="20"/>
          <w:lang w:eastAsia="de-DE"/>
        </w:rPr>
      </w:pPr>
    </w:p>
    <w:tbl>
      <w:tblPr>
        <w:tblpPr w:leftFromText="141" w:rightFromText="141" w:vertAnchor="text" w:tblpY="1"/>
        <w:tblOverlap w:val="never"/>
        <w:tblW w:w="6946" w:type="dxa"/>
        <w:tblLayout w:type="fixed"/>
        <w:tblCellMar>
          <w:left w:w="70" w:type="dxa"/>
          <w:right w:w="70" w:type="dxa"/>
        </w:tblCellMar>
        <w:tblLook w:val="00A0" w:firstRow="1" w:lastRow="0" w:firstColumn="1" w:lastColumn="0" w:noHBand="0" w:noVBand="0"/>
      </w:tblPr>
      <w:tblGrid>
        <w:gridCol w:w="6946"/>
      </w:tblGrid>
      <w:tr w:rsidR="005C18E7" w:rsidRPr="00B46453" w14:paraId="026C987B" w14:textId="77777777" w:rsidTr="005C18E7">
        <w:trPr>
          <w:trHeight w:val="1957"/>
        </w:trPr>
        <w:tc>
          <w:tcPr>
            <w:tcW w:w="6946" w:type="dxa"/>
          </w:tcPr>
          <w:p w14:paraId="36744AD7" w14:textId="77777777" w:rsidR="005C18E7" w:rsidRPr="00B46453" w:rsidRDefault="005C18E7" w:rsidP="00B366C9">
            <w:pPr>
              <w:pStyle w:val="Kopfzeile"/>
              <w:ind w:right="-141"/>
            </w:pPr>
          </w:p>
          <w:p w14:paraId="2667EFC0" w14:textId="77777777" w:rsidR="005C18E7" w:rsidRPr="00B46453" w:rsidRDefault="005C18E7" w:rsidP="00B366C9">
            <w:pPr>
              <w:pStyle w:val="Kopfzeile"/>
              <w:ind w:right="-141"/>
            </w:pPr>
            <w:r>
              <w:rPr>
                <w:noProof/>
              </w:rPr>
              <w:drawing>
                <wp:anchor distT="0" distB="0" distL="114300" distR="114300" simplePos="0" relativeHeight="251662336" behindDoc="0" locked="0" layoutInCell="1" allowOverlap="1" wp14:anchorId="67CEDC3F" wp14:editId="05E4456A">
                  <wp:simplePos x="0" y="0"/>
                  <wp:positionH relativeFrom="column">
                    <wp:posOffset>150495</wp:posOffset>
                  </wp:positionH>
                  <wp:positionV relativeFrom="paragraph">
                    <wp:posOffset>1533</wp:posOffset>
                  </wp:positionV>
                  <wp:extent cx="774000" cy="961200"/>
                  <wp:effectExtent l="0" t="0" r="1270" b="4445"/>
                  <wp:wrapSquare wrapText="bothSides"/>
                  <wp:docPr id="62978480" name="Grafik 1" descr="Andrew Yo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w You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4000" cy="96120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"/Users/rebeccahasert/Library/Group Containers/UBF8T346G9.ms/WebArchiveCopyPasteTempFiles/com.microsoft.Word/andrew_young-sm.jpg" \* MERGEFORMATINET </w:instrText>
            </w:r>
            <w:r>
              <w:fldChar w:fldCharType="separate"/>
            </w:r>
            <w:r>
              <w:fldChar w:fldCharType="end"/>
            </w:r>
          </w:p>
        </w:tc>
      </w:tr>
      <w:tr w:rsidR="005C18E7" w:rsidRPr="00E34D7A" w14:paraId="5FE7D625" w14:textId="77777777" w:rsidTr="005C18E7">
        <w:trPr>
          <w:trHeight w:val="536"/>
        </w:trPr>
        <w:tc>
          <w:tcPr>
            <w:tcW w:w="6946" w:type="dxa"/>
          </w:tcPr>
          <w:p w14:paraId="6C76A74F" w14:textId="79B13872" w:rsidR="005C18E7" w:rsidRDefault="005C18E7" w:rsidP="00B366C9">
            <w:pPr>
              <w:tabs>
                <w:tab w:val="left" w:pos="3828"/>
                <w:tab w:val="left" w:pos="5245"/>
                <w:tab w:val="left" w:pos="7938"/>
              </w:tabs>
              <w:spacing w:line="288" w:lineRule="auto"/>
              <w:ind w:right="222"/>
              <w:rPr>
                <w:rFonts w:ascii="Helvetica" w:hAnsi="Helvetica"/>
                <w:sz w:val="16"/>
                <w:szCs w:val="16"/>
              </w:rPr>
            </w:pPr>
            <w:r w:rsidRPr="0040651F">
              <w:rPr>
                <w:rFonts w:ascii="Helvetica" w:hAnsi="Helvetica"/>
                <w:sz w:val="16"/>
                <w:szCs w:val="16"/>
              </w:rPr>
              <w:t xml:space="preserve">Andrew Young, Chief </w:t>
            </w:r>
            <w:proofErr w:type="spellStart"/>
            <w:r w:rsidRPr="0040651F">
              <w:rPr>
                <w:rFonts w:ascii="Helvetica" w:hAnsi="Helvetica"/>
                <w:sz w:val="16"/>
                <w:szCs w:val="16"/>
              </w:rPr>
              <w:t>Product</w:t>
            </w:r>
            <w:proofErr w:type="spellEnd"/>
            <w:r w:rsidRPr="0040651F">
              <w:rPr>
                <w:rFonts w:ascii="Helvetica" w:hAnsi="Helvetica"/>
                <w:sz w:val="16"/>
                <w:szCs w:val="16"/>
              </w:rPr>
              <w:t xml:space="preserve"> Officer </w:t>
            </w:r>
            <w:r w:rsidRPr="005C18E7">
              <w:rPr>
                <w:rFonts w:ascii="Helvetica" w:hAnsi="Helvetica"/>
                <w:sz w:val="16"/>
                <w:szCs w:val="16"/>
              </w:rPr>
              <w:t xml:space="preserve">und Senior </w:t>
            </w:r>
            <w:proofErr w:type="spellStart"/>
            <w:r w:rsidRPr="005C18E7">
              <w:rPr>
                <w:rFonts w:ascii="Helvetica" w:hAnsi="Helvetica"/>
                <w:sz w:val="16"/>
                <w:szCs w:val="16"/>
              </w:rPr>
              <w:t>Vice</w:t>
            </w:r>
            <w:proofErr w:type="spellEnd"/>
            <w:r w:rsidRPr="005C18E7">
              <w:rPr>
                <w:rFonts w:ascii="Helvetica" w:hAnsi="Helvetica"/>
                <w:sz w:val="16"/>
                <w:szCs w:val="16"/>
              </w:rPr>
              <w:t xml:space="preserve"> </w:t>
            </w:r>
            <w:proofErr w:type="spellStart"/>
            <w:r w:rsidRPr="005C18E7">
              <w:rPr>
                <w:rFonts w:ascii="Helvetica" w:hAnsi="Helvetica"/>
                <w:sz w:val="16"/>
                <w:szCs w:val="16"/>
              </w:rPr>
              <w:t>President</w:t>
            </w:r>
            <w:proofErr w:type="spellEnd"/>
            <w:r w:rsidRPr="005C18E7">
              <w:rPr>
                <w:rFonts w:ascii="Helvetica" w:hAnsi="Helvetica"/>
                <w:sz w:val="16"/>
                <w:szCs w:val="16"/>
              </w:rPr>
              <w:t xml:space="preserve"> </w:t>
            </w:r>
            <w:proofErr w:type="spellStart"/>
            <w:r w:rsidRPr="005C18E7">
              <w:rPr>
                <w:rFonts w:ascii="Helvetica" w:hAnsi="Helvetica"/>
                <w:sz w:val="16"/>
                <w:szCs w:val="16"/>
              </w:rPr>
              <w:t>Product</w:t>
            </w:r>
            <w:proofErr w:type="spellEnd"/>
            <w:r w:rsidRPr="005C18E7">
              <w:rPr>
                <w:rFonts w:ascii="Helvetica" w:hAnsi="Helvetica"/>
                <w:sz w:val="16"/>
                <w:szCs w:val="16"/>
              </w:rPr>
              <w:t xml:space="preserve"> Management</w:t>
            </w:r>
          </w:p>
          <w:p w14:paraId="1B224B2D" w14:textId="15B21906" w:rsidR="005C18E7" w:rsidRPr="0040651F" w:rsidRDefault="005C18E7" w:rsidP="00B366C9">
            <w:pPr>
              <w:tabs>
                <w:tab w:val="left" w:pos="3828"/>
                <w:tab w:val="left" w:pos="5245"/>
                <w:tab w:val="left" w:pos="7938"/>
              </w:tabs>
              <w:spacing w:line="288" w:lineRule="auto"/>
              <w:ind w:right="222"/>
              <w:rPr>
                <w:rFonts w:ascii="Helvetica" w:hAnsi="Helvetica"/>
                <w:sz w:val="16"/>
                <w:szCs w:val="16"/>
              </w:rPr>
            </w:pPr>
            <w:r w:rsidRPr="0040651F">
              <w:rPr>
                <w:rFonts w:ascii="Helvetica" w:hAnsi="Helvetica"/>
                <w:sz w:val="16"/>
                <w:szCs w:val="16"/>
              </w:rPr>
              <w:t>bei WatchGuard Technologies</w:t>
            </w:r>
          </w:p>
        </w:tc>
      </w:tr>
    </w:tbl>
    <w:p w14:paraId="5C0F23E1" w14:textId="77777777" w:rsidR="005C18E7" w:rsidRPr="00DB6AF5" w:rsidRDefault="005C18E7" w:rsidP="005C18E7">
      <w:pPr>
        <w:pStyle w:val="Textkrper"/>
        <w:spacing w:line="288" w:lineRule="auto"/>
        <w:ind w:right="567"/>
        <w:rPr>
          <w:b w:val="0"/>
          <w:color w:val="000000" w:themeColor="text1"/>
          <w:sz w:val="20"/>
          <w:szCs w:val="20"/>
        </w:rPr>
      </w:pPr>
    </w:p>
    <w:p w14:paraId="4BE051CB" w14:textId="77777777" w:rsidR="005C18E7" w:rsidRPr="00C23E65" w:rsidRDefault="005C18E7" w:rsidP="005C18E7">
      <w:pPr>
        <w:spacing w:line="288" w:lineRule="auto"/>
        <w:ind w:right="1134"/>
        <w:rPr>
          <w:rFonts w:ascii="Helvetica" w:hAnsi="Helvetica"/>
          <w:sz w:val="20"/>
          <w:szCs w:val="20"/>
          <w:lang w:val="en-US"/>
        </w:rPr>
      </w:pPr>
    </w:p>
    <w:p w14:paraId="77AEB787" w14:textId="77777777" w:rsidR="005C18E7" w:rsidRPr="001B7B63" w:rsidRDefault="005C18E7" w:rsidP="005C18E7">
      <w:pPr>
        <w:pStyle w:val="Textkrper"/>
        <w:spacing w:line="288" w:lineRule="auto"/>
        <w:ind w:right="1134"/>
        <w:rPr>
          <w:rFonts w:eastAsia="Times New Roman"/>
          <w:bCs/>
          <w:sz w:val="20"/>
          <w:szCs w:val="20"/>
          <w:lang w:eastAsia="de-DE"/>
        </w:rPr>
      </w:pPr>
    </w:p>
    <w:p w14:paraId="04C3ADA2" w14:textId="77777777" w:rsidR="005C18E7" w:rsidRDefault="005C18E7" w:rsidP="005C18E7">
      <w:pPr>
        <w:spacing w:line="288" w:lineRule="auto"/>
        <w:rPr>
          <w:rFonts w:ascii="Helvetica" w:hAnsi="Helvetica"/>
          <w:color w:val="000000" w:themeColor="text1"/>
          <w:sz w:val="20"/>
          <w:szCs w:val="20"/>
        </w:rPr>
      </w:pPr>
    </w:p>
    <w:p w14:paraId="61E8CF6E" w14:textId="77777777" w:rsidR="005C18E7" w:rsidRDefault="005C18E7" w:rsidP="005C18E7">
      <w:pPr>
        <w:spacing w:line="288" w:lineRule="auto"/>
        <w:rPr>
          <w:rFonts w:ascii="Helvetica" w:hAnsi="Helvetica"/>
          <w:color w:val="000000" w:themeColor="text1"/>
          <w:sz w:val="20"/>
          <w:szCs w:val="20"/>
        </w:rPr>
      </w:pPr>
    </w:p>
    <w:p w14:paraId="3B6A95EA" w14:textId="77777777" w:rsidR="005C18E7" w:rsidRDefault="005C18E7" w:rsidP="005C18E7">
      <w:pPr>
        <w:spacing w:line="288" w:lineRule="auto"/>
        <w:rPr>
          <w:rFonts w:ascii="Helvetica" w:hAnsi="Helvetica"/>
          <w:color w:val="000000" w:themeColor="text1"/>
          <w:sz w:val="20"/>
          <w:szCs w:val="20"/>
        </w:rPr>
      </w:pPr>
    </w:p>
    <w:p w14:paraId="0305FB84" w14:textId="77777777" w:rsidR="005C18E7" w:rsidRDefault="005C18E7" w:rsidP="005C18E7">
      <w:pPr>
        <w:spacing w:line="288" w:lineRule="auto"/>
        <w:rPr>
          <w:rFonts w:ascii="Helvetica" w:hAnsi="Helvetica"/>
          <w:color w:val="000000" w:themeColor="text1"/>
          <w:sz w:val="20"/>
          <w:szCs w:val="20"/>
        </w:rPr>
      </w:pPr>
    </w:p>
    <w:p w14:paraId="178EB1B3" w14:textId="77777777" w:rsidR="005C18E7" w:rsidRDefault="005C18E7" w:rsidP="005C18E7">
      <w:pPr>
        <w:spacing w:line="288" w:lineRule="auto"/>
        <w:rPr>
          <w:rFonts w:ascii="Helvetica" w:hAnsi="Helvetica"/>
          <w:color w:val="000000" w:themeColor="text1"/>
          <w:sz w:val="20"/>
          <w:szCs w:val="20"/>
        </w:rPr>
      </w:pPr>
    </w:p>
    <w:p w14:paraId="19A00D04" w14:textId="77777777" w:rsidR="005C18E7" w:rsidRDefault="005C18E7" w:rsidP="005C18E7">
      <w:pPr>
        <w:spacing w:line="288" w:lineRule="auto"/>
        <w:rPr>
          <w:rFonts w:ascii="Helvetica" w:hAnsi="Helvetica"/>
          <w:color w:val="000000" w:themeColor="text1"/>
          <w:sz w:val="20"/>
          <w:szCs w:val="20"/>
        </w:rPr>
      </w:pPr>
    </w:p>
    <w:p w14:paraId="39D7DC96" w14:textId="057883DB" w:rsidR="005C18E7" w:rsidRDefault="005C18E7" w:rsidP="005C18E7">
      <w:pPr>
        <w:spacing w:line="288" w:lineRule="auto"/>
      </w:pPr>
      <w:r w:rsidRPr="00B46453">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Andrew Young</w:t>
      </w:r>
      <w:r w:rsidRPr="00B46453">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B46453">
        <w:rPr>
          <w:rFonts w:ascii="Helvetica" w:hAnsi="Helvetica"/>
          <w:color w:val="000000" w:themeColor="text1"/>
          <w:sz w:val="20"/>
          <w:szCs w:val="20"/>
        </w:rPr>
        <w:t xml:space="preserve"> auch gerne per E-Mail zu. Kontakt: </w:t>
      </w:r>
      <w:hyperlink r:id="rId15" w:history="1">
        <w:r w:rsidRPr="005A091F">
          <w:rPr>
            <w:rStyle w:val="Hyperlink"/>
            <w:rFonts w:ascii="Helvetica" w:eastAsia="MS Mincho" w:hAnsi="Helvetica"/>
            <w:sz w:val="20"/>
            <w:szCs w:val="20"/>
          </w:rPr>
          <w:t>rh@press-n-relations.de</w:t>
        </w:r>
      </w:hyperlink>
    </w:p>
    <w:p w14:paraId="3BBFCD0F" w14:textId="77777777" w:rsidR="005C18E7" w:rsidRDefault="005C18E7" w:rsidP="005C18E7">
      <w:pPr>
        <w:spacing w:line="288" w:lineRule="auto"/>
      </w:pPr>
    </w:p>
    <w:p w14:paraId="208C1CFA" w14:textId="77777777" w:rsidR="005C18E7" w:rsidRDefault="005C18E7" w:rsidP="005C18E7">
      <w:pPr>
        <w:spacing w:line="288" w:lineRule="auto"/>
      </w:pPr>
    </w:p>
    <w:p w14:paraId="5283248A" w14:textId="77777777" w:rsidR="005C18E7" w:rsidRDefault="005C18E7" w:rsidP="005C18E7">
      <w:pPr>
        <w:spacing w:line="288" w:lineRule="auto"/>
      </w:pPr>
    </w:p>
    <w:p w14:paraId="657A0233" w14:textId="77777777" w:rsidR="005C18E7" w:rsidRDefault="005C18E7" w:rsidP="005C18E7">
      <w:pPr>
        <w:spacing w:line="288" w:lineRule="auto"/>
      </w:pPr>
    </w:p>
    <w:p w14:paraId="3B7D74B3" w14:textId="77777777" w:rsidR="005C18E7" w:rsidRDefault="005C18E7" w:rsidP="005C18E7">
      <w:pPr>
        <w:spacing w:line="288" w:lineRule="auto"/>
      </w:pPr>
    </w:p>
    <w:p w14:paraId="3AD3B6E0" w14:textId="77777777" w:rsidR="005C18E7" w:rsidRPr="005C18E7" w:rsidRDefault="005C18E7" w:rsidP="005C18E7">
      <w:pPr>
        <w:spacing w:line="288" w:lineRule="auto"/>
      </w:pPr>
    </w:p>
    <w:p w14:paraId="7EA95188" w14:textId="77777777" w:rsidR="008D1A6A" w:rsidRDefault="008D1A6A">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Layout w:type="fixed"/>
        <w:tblCellMar>
          <w:left w:w="70" w:type="dxa"/>
          <w:right w:w="70" w:type="dxa"/>
        </w:tblCellMar>
        <w:tblLook w:val="0000" w:firstRow="0" w:lastRow="0" w:firstColumn="0" w:lastColumn="0" w:noHBand="0" w:noVBand="0"/>
      </w:tblPr>
      <w:tblGrid>
        <w:gridCol w:w="4606"/>
        <w:gridCol w:w="4111"/>
      </w:tblGrid>
      <w:tr w:rsidR="008D1A6A" w14:paraId="42F068B3" w14:textId="77777777">
        <w:trPr>
          <w:trHeight w:val="1436"/>
        </w:trPr>
        <w:tc>
          <w:tcPr>
            <w:tcW w:w="4606" w:type="dxa"/>
          </w:tcPr>
          <w:p w14:paraId="40A9B7E8" w14:textId="77777777" w:rsidR="008D1A6A" w:rsidRDefault="00000000">
            <w:pPr>
              <w:pStyle w:val="Textkrper"/>
              <w:spacing w:line="312" w:lineRule="auto"/>
              <w:ind w:right="426"/>
              <w:rPr>
                <w:bCs/>
                <w:color w:val="000000" w:themeColor="text1"/>
                <w:sz w:val="16"/>
                <w:lang w:val="en-US"/>
              </w:rPr>
            </w:pPr>
            <w:proofErr w:type="spellStart"/>
            <w:r>
              <w:rPr>
                <w:bCs/>
                <w:color w:val="000000" w:themeColor="text1"/>
                <w:sz w:val="16"/>
                <w:lang w:val="en-US"/>
              </w:rPr>
              <w:lastRenderedPageBreak/>
              <w:t>Kontakt</w:t>
            </w:r>
            <w:proofErr w:type="spellEnd"/>
            <w:r>
              <w:rPr>
                <w:bCs/>
                <w:color w:val="000000" w:themeColor="text1"/>
                <w:sz w:val="16"/>
                <w:lang w:val="en-US"/>
              </w:rPr>
              <w:t>:</w:t>
            </w:r>
          </w:p>
          <w:p w14:paraId="4A010F87" w14:textId="77777777" w:rsidR="008D1A6A" w:rsidRDefault="00000000">
            <w:pPr>
              <w:pStyle w:val="Textkrper"/>
              <w:tabs>
                <w:tab w:val="left" w:pos="7513"/>
              </w:tabs>
              <w:spacing w:line="312" w:lineRule="auto"/>
              <w:rPr>
                <w:b w:val="0"/>
                <w:color w:val="000000" w:themeColor="text1"/>
                <w:spacing w:val="-2"/>
                <w:sz w:val="16"/>
                <w:szCs w:val="16"/>
                <w:lang w:val="en-US"/>
              </w:rPr>
            </w:pPr>
            <w:r>
              <w:rPr>
                <w:b w:val="0"/>
                <w:color w:val="000000" w:themeColor="text1"/>
                <w:spacing w:val="-2"/>
                <w:sz w:val="16"/>
                <w:szCs w:val="16"/>
                <w:lang w:val="en-US"/>
              </w:rPr>
              <w:t>WatchGuard Technologies GmbH</w:t>
            </w:r>
          </w:p>
          <w:p w14:paraId="25BD9C7D" w14:textId="77777777" w:rsidR="008D1A6A" w:rsidRDefault="00000000">
            <w:pPr>
              <w:pStyle w:val="Textkrper"/>
              <w:tabs>
                <w:tab w:val="left" w:pos="7513"/>
              </w:tabs>
              <w:spacing w:line="312" w:lineRule="auto"/>
              <w:rPr>
                <w:b w:val="0"/>
                <w:color w:val="000000" w:themeColor="text1"/>
                <w:spacing w:val="-2"/>
                <w:sz w:val="16"/>
                <w:szCs w:val="16"/>
                <w:lang w:val="en-US"/>
              </w:rPr>
            </w:pPr>
            <w:r>
              <w:rPr>
                <w:b w:val="0"/>
                <w:color w:val="000000" w:themeColor="text1"/>
                <w:spacing w:val="-2"/>
                <w:sz w:val="16"/>
                <w:szCs w:val="16"/>
                <w:lang w:val="en-US"/>
              </w:rPr>
              <w:t>Paul Moll – Senior Field Marketing Manager Central Europe</w:t>
            </w:r>
          </w:p>
          <w:p w14:paraId="76293735" w14:textId="77777777" w:rsidR="008D1A6A" w:rsidRDefault="00000000">
            <w:pPr>
              <w:pStyle w:val="Textkrper"/>
              <w:tabs>
                <w:tab w:val="left" w:pos="7513"/>
              </w:tabs>
              <w:spacing w:line="312" w:lineRule="auto"/>
              <w:rPr>
                <w:b w:val="0"/>
                <w:color w:val="000000" w:themeColor="text1"/>
                <w:spacing w:val="-2"/>
                <w:sz w:val="16"/>
                <w:szCs w:val="16"/>
              </w:rPr>
            </w:pPr>
            <w:r>
              <w:rPr>
                <w:b w:val="0"/>
                <w:color w:val="000000" w:themeColor="text1"/>
                <w:spacing w:val="-2"/>
                <w:sz w:val="16"/>
                <w:szCs w:val="16"/>
              </w:rPr>
              <w:t>Dr. Alfred-Herrhausen-Allee 26, 47228 Duisburg</w:t>
            </w:r>
          </w:p>
          <w:p w14:paraId="2637D741" w14:textId="77777777" w:rsidR="008D1A6A" w:rsidRDefault="00000000">
            <w:pPr>
              <w:pStyle w:val="Textkrper"/>
              <w:tabs>
                <w:tab w:val="left" w:pos="7513"/>
              </w:tabs>
              <w:spacing w:line="312" w:lineRule="auto"/>
              <w:rPr>
                <w:b w:val="0"/>
                <w:color w:val="000000" w:themeColor="text1"/>
                <w:spacing w:val="-2"/>
                <w:sz w:val="16"/>
                <w:szCs w:val="16"/>
              </w:rPr>
            </w:pPr>
            <w:r>
              <w:rPr>
                <w:b w:val="0"/>
                <w:color w:val="000000" w:themeColor="text1"/>
                <w:spacing w:val="-2"/>
                <w:sz w:val="16"/>
                <w:szCs w:val="16"/>
              </w:rPr>
              <w:t>Tel.: +49 152 31795040</w:t>
            </w:r>
          </w:p>
          <w:p w14:paraId="47499AC6" w14:textId="77777777" w:rsidR="008D1A6A" w:rsidRDefault="00000000">
            <w:pPr>
              <w:pStyle w:val="Textkrper"/>
              <w:tabs>
                <w:tab w:val="left" w:pos="7513"/>
              </w:tabs>
              <w:spacing w:line="312" w:lineRule="auto"/>
              <w:rPr>
                <w:b w:val="0"/>
                <w:color w:val="000000" w:themeColor="text1"/>
                <w:spacing w:val="-2"/>
                <w:sz w:val="16"/>
                <w:szCs w:val="16"/>
              </w:rPr>
            </w:pPr>
            <w:r>
              <w:rPr>
                <w:b w:val="0"/>
                <w:color w:val="000000" w:themeColor="text1"/>
                <w:spacing w:val="-2"/>
                <w:sz w:val="16"/>
                <w:szCs w:val="16"/>
              </w:rPr>
              <w:t>paul.moll@watchguard.com</w:t>
            </w:r>
          </w:p>
          <w:p w14:paraId="6DC386AD" w14:textId="77777777" w:rsidR="008D1A6A" w:rsidRDefault="008D1A6A">
            <w:pPr>
              <w:pStyle w:val="Textkrper"/>
              <w:tabs>
                <w:tab w:val="left" w:pos="7513"/>
              </w:tabs>
              <w:spacing w:line="312" w:lineRule="auto"/>
              <w:rPr>
                <w:b w:val="0"/>
                <w:color w:val="000000" w:themeColor="text1"/>
                <w:sz w:val="16"/>
              </w:rPr>
            </w:pPr>
            <w:hyperlink r:id="rId16">
              <w:r>
                <w:rPr>
                  <w:b w:val="0"/>
                  <w:spacing w:val="-2"/>
                  <w:sz w:val="16"/>
                  <w:szCs w:val="16"/>
                </w:rPr>
                <w:t>https://www.watchguard.com/de</w:t>
              </w:r>
            </w:hyperlink>
          </w:p>
        </w:tc>
        <w:tc>
          <w:tcPr>
            <w:tcW w:w="4111" w:type="dxa"/>
          </w:tcPr>
          <w:p w14:paraId="01129882" w14:textId="77777777" w:rsidR="008D1A6A" w:rsidRDefault="00000000">
            <w:pPr>
              <w:pStyle w:val="Textkrper"/>
              <w:tabs>
                <w:tab w:val="left" w:pos="7513"/>
              </w:tabs>
              <w:spacing w:line="312" w:lineRule="auto"/>
              <w:ind w:right="426"/>
              <w:rPr>
                <w:bCs/>
                <w:color w:val="000000" w:themeColor="text1"/>
                <w:sz w:val="16"/>
              </w:rPr>
            </w:pPr>
            <w:r>
              <w:rPr>
                <w:bCs/>
                <w:color w:val="000000" w:themeColor="text1"/>
                <w:sz w:val="16"/>
              </w:rPr>
              <w:t>Presse- und Öffentlichkeitsarbeit:</w:t>
            </w:r>
          </w:p>
          <w:p w14:paraId="417157DE" w14:textId="77777777" w:rsidR="008D1A6A" w:rsidRDefault="00000000">
            <w:pPr>
              <w:pStyle w:val="Textkrper"/>
              <w:tabs>
                <w:tab w:val="left" w:pos="7513"/>
              </w:tabs>
              <w:spacing w:line="312" w:lineRule="auto"/>
              <w:ind w:right="426"/>
              <w:rPr>
                <w:b w:val="0"/>
                <w:color w:val="000000" w:themeColor="text1"/>
                <w:spacing w:val="-2"/>
                <w:sz w:val="16"/>
                <w:szCs w:val="16"/>
              </w:rPr>
            </w:pPr>
            <w:proofErr w:type="spellStart"/>
            <w:r>
              <w:rPr>
                <w:b w:val="0"/>
                <w:color w:val="000000" w:themeColor="text1"/>
                <w:spacing w:val="-2"/>
                <w:sz w:val="16"/>
                <w:szCs w:val="16"/>
              </w:rPr>
              <w:t>Press'n'Relations</w:t>
            </w:r>
            <w:proofErr w:type="spellEnd"/>
            <w:r>
              <w:rPr>
                <w:b w:val="0"/>
                <w:color w:val="000000" w:themeColor="text1"/>
                <w:spacing w:val="-2"/>
                <w:sz w:val="16"/>
                <w:szCs w:val="16"/>
              </w:rPr>
              <w:t xml:space="preserve"> GmbH</w:t>
            </w:r>
          </w:p>
          <w:p w14:paraId="3444B2AC" w14:textId="77777777" w:rsidR="008D1A6A" w:rsidRDefault="00000000">
            <w:pPr>
              <w:pStyle w:val="Textkrper"/>
              <w:tabs>
                <w:tab w:val="left" w:pos="7513"/>
              </w:tabs>
              <w:spacing w:line="312" w:lineRule="auto"/>
              <w:ind w:right="426"/>
              <w:rPr>
                <w:b w:val="0"/>
                <w:color w:val="000000" w:themeColor="text1"/>
                <w:spacing w:val="-2"/>
                <w:sz w:val="16"/>
                <w:szCs w:val="16"/>
              </w:rPr>
            </w:pPr>
            <w:r>
              <w:rPr>
                <w:b w:val="0"/>
                <w:color w:val="000000" w:themeColor="text1"/>
                <w:spacing w:val="-2"/>
                <w:sz w:val="16"/>
                <w:szCs w:val="16"/>
              </w:rPr>
              <w:t xml:space="preserve">Rebecca Horn </w:t>
            </w:r>
          </w:p>
          <w:p w14:paraId="4A873950" w14:textId="77777777" w:rsidR="008D1A6A" w:rsidRDefault="00000000">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 89077 Ulm</w:t>
            </w:r>
          </w:p>
          <w:p w14:paraId="40AEA12E" w14:textId="77777777" w:rsidR="008D1A6A" w:rsidRDefault="00000000">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 xml:space="preserve">Tel.: +49 731 146 156-75 </w:t>
            </w:r>
          </w:p>
          <w:p w14:paraId="066A49DD" w14:textId="77777777" w:rsidR="008D1A6A" w:rsidRDefault="008D1A6A">
            <w:pPr>
              <w:pStyle w:val="Textkrper"/>
              <w:tabs>
                <w:tab w:val="left" w:pos="7513"/>
              </w:tabs>
              <w:spacing w:line="312" w:lineRule="auto"/>
              <w:ind w:right="425"/>
              <w:rPr>
                <w:b w:val="0"/>
                <w:color w:val="000000" w:themeColor="text1"/>
                <w:spacing w:val="-2"/>
                <w:sz w:val="16"/>
                <w:szCs w:val="16"/>
              </w:rPr>
            </w:pPr>
            <w:hyperlink r:id="rId17">
              <w:r>
                <w:rPr>
                  <w:b w:val="0"/>
                  <w:spacing w:val="-2"/>
                  <w:sz w:val="16"/>
                  <w:szCs w:val="16"/>
                </w:rPr>
                <w:t>rh@press-n-relations.de</w:t>
              </w:r>
            </w:hyperlink>
            <w:r>
              <w:rPr>
                <w:b w:val="0"/>
                <w:color w:val="000000" w:themeColor="text1"/>
                <w:spacing w:val="-2"/>
                <w:sz w:val="16"/>
                <w:szCs w:val="16"/>
              </w:rPr>
              <w:t xml:space="preserve"> </w:t>
            </w:r>
          </w:p>
          <w:p w14:paraId="36A06932" w14:textId="77777777" w:rsidR="008D1A6A" w:rsidRDefault="008D1A6A">
            <w:pPr>
              <w:pStyle w:val="Textkrper"/>
              <w:tabs>
                <w:tab w:val="left" w:pos="7513"/>
              </w:tabs>
              <w:spacing w:line="312" w:lineRule="auto"/>
              <w:ind w:right="425"/>
              <w:rPr>
                <w:b w:val="0"/>
                <w:bCs/>
                <w:color w:val="000000" w:themeColor="text1"/>
                <w:sz w:val="16"/>
              </w:rPr>
            </w:pPr>
            <w:hyperlink r:id="rId18">
              <w:r>
                <w:rPr>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Pr>
                <w:b w:val="0"/>
                <w:bCs/>
                <w:color w:val="000000" w:themeColor="text1"/>
                <w:spacing w:val="-2"/>
                <w:sz w:val="16"/>
                <w:szCs w:val="16"/>
              </w:rPr>
              <w:t>Press'n'Relations</w:t>
            </w:r>
            <w:proofErr w:type="spellEnd"/>
            <w:r>
              <w:rPr>
                <w:b w:val="0"/>
                <w:bCs/>
                <w:color w:val="000000" w:themeColor="text1"/>
                <w:spacing w:val="-2"/>
                <w:sz w:val="16"/>
                <w:szCs w:val="16"/>
              </w:rPr>
              <w:t xml:space="preserve"> Austria GmbH</w:t>
            </w:r>
            <w:r>
              <w:rPr>
                <w:b w:val="0"/>
                <w:bCs/>
                <w:color w:val="000000" w:themeColor="text1"/>
                <w:spacing w:val="-2"/>
                <w:sz w:val="16"/>
                <w:szCs w:val="16"/>
              </w:rPr>
              <w:br/>
              <w:t xml:space="preserve">Mag. Georg </w:t>
            </w:r>
            <w:proofErr w:type="spellStart"/>
            <w:r>
              <w:rPr>
                <w:b w:val="0"/>
                <w:bCs/>
                <w:color w:val="000000" w:themeColor="text1"/>
                <w:spacing w:val="-2"/>
                <w:sz w:val="16"/>
                <w:szCs w:val="16"/>
              </w:rPr>
              <w:t>Dutzi</w:t>
            </w:r>
            <w:proofErr w:type="spellEnd"/>
            <w:r>
              <w:rPr>
                <w:b w:val="0"/>
                <w:bCs/>
                <w:color w:val="000000" w:themeColor="text1"/>
                <w:spacing w:val="-2"/>
                <w:sz w:val="16"/>
                <w:szCs w:val="16"/>
              </w:rPr>
              <w:br/>
              <w:t>Lange Gasse 65/16, A-1080 Wien</w:t>
            </w:r>
            <w:r>
              <w:rPr>
                <w:b w:val="0"/>
                <w:bCs/>
                <w:color w:val="000000" w:themeColor="text1"/>
                <w:spacing w:val="-2"/>
                <w:sz w:val="16"/>
                <w:szCs w:val="16"/>
              </w:rPr>
              <w:br/>
              <w:t>T: +43 1 907 61 48-10</w:t>
            </w:r>
            <w:r>
              <w:rPr>
                <w:b w:val="0"/>
                <w:bCs/>
                <w:color w:val="000000" w:themeColor="text1"/>
                <w:spacing w:val="-2"/>
                <w:sz w:val="16"/>
                <w:szCs w:val="16"/>
              </w:rPr>
              <w:br/>
              <w:t>gd@press-n-relations.at</w:t>
            </w:r>
            <w:r>
              <w:rPr>
                <w:b w:val="0"/>
                <w:bCs/>
                <w:color w:val="000000" w:themeColor="text1"/>
                <w:spacing w:val="-2"/>
                <w:sz w:val="16"/>
                <w:szCs w:val="16"/>
              </w:rPr>
              <w:br/>
            </w:r>
            <w:hyperlink r:id="rId19">
              <w:r>
                <w:rPr>
                  <w:b w:val="0"/>
                  <w:bCs/>
                  <w:spacing w:val="-2"/>
                  <w:sz w:val="16"/>
                  <w:szCs w:val="16"/>
                </w:rPr>
                <w:t>https://press-n-relations.at</w:t>
              </w:r>
            </w:hyperlink>
          </w:p>
        </w:tc>
      </w:tr>
    </w:tbl>
    <w:p w14:paraId="1BED6416" w14:textId="77777777" w:rsidR="008D1A6A" w:rsidRDefault="008D1A6A">
      <w:pPr>
        <w:tabs>
          <w:tab w:val="left" w:pos="3828"/>
          <w:tab w:val="left" w:pos="8364"/>
        </w:tabs>
        <w:spacing w:line="288" w:lineRule="auto"/>
        <w:ind w:right="141"/>
        <w:outlineLvl w:val="0"/>
        <w:rPr>
          <w:rFonts w:ascii="Helvetica" w:hAnsi="Helvetica"/>
          <w:b/>
          <w:color w:val="000000" w:themeColor="text1"/>
          <w:sz w:val="16"/>
          <w:szCs w:val="16"/>
        </w:rPr>
      </w:pPr>
    </w:p>
    <w:p w14:paraId="7D255749" w14:textId="77777777" w:rsidR="008D1A6A" w:rsidRDefault="00000000">
      <w:pPr>
        <w:tabs>
          <w:tab w:val="left" w:pos="3828"/>
        </w:tabs>
        <w:spacing w:line="288" w:lineRule="auto"/>
        <w:ind w:right="567"/>
        <w:outlineLvl w:val="0"/>
        <w:rPr>
          <w:rFonts w:ascii="Helvetica" w:hAnsi="Helvetica"/>
          <w:b/>
          <w:color w:val="000000" w:themeColor="text1"/>
          <w:sz w:val="16"/>
          <w:szCs w:val="16"/>
        </w:rPr>
      </w:pPr>
      <w:r>
        <w:rPr>
          <w:rFonts w:ascii="Helvetica" w:hAnsi="Helvetica"/>
          <w:b/>
          <w:color w:val="000000" w:themeColor="text1"/>
          <w:sz w:val="16"/>
          <w:szCs w:val="16"/>
        </w:rPr>
        <w:t>Über WatchGuard Technologies</w:t>
      </w:r>
    </w:p>
    <w:p w14:paraId="1C928DAC" w14:textId="6605EC9C" w:rsidR="008D1A6A" w:rsidRDefault="00000000">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WatchGuard Technologies ist ein weltweit führender Anbieter von einheitlichen Cybersicherheitslösungen, die speziell für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entwickelt wurden. Im Gegensatz zu anderen Anbietern bietet WatchGuard mit seiner Unified Security </w:t>
      </w:r>
      <w:proofErr w:type="spellStart"/>
      <w:r>
        <w:rPr>
          <w:rFonts w:ascii="Helvetica" w:hAnsi="Helvetica"/>
          <w:color w:val="000000" w:themeColor="text1"/>
          <w:spacing w:val="-2"/>
          <w:sz w:val="16"/>
          <w:szCs w:val="16"/>
        </w:rPr>
        <w:t>Platform</w:t>
      </w:r>
      <w:proofErr w:type="spellEnd"/>
      <w:r>
        <w:rPr>
          <w:rFonts w:ascii="Helvetica" w:hAnsi="Helvetica"/>
          <w:color w:val="000000" w:themeColor="text1"/>
          <w:spacing w:val="-2"/>
          <w:sz w:val="16"/>
          <w:szCs w:val="16"/>
        </w:rPr>
        <w:t xml:space="preserve">® echte Sicherheit für reale Umgebungen und verbindet die </w:t>
      </w:r>
      <w:r w:rsidR="008D2A3E">
        <w:rPr>
          <w:rFonts w:ascii="Helvetica" w:hAnsi="Helvetica"/>
          <w:color w:val="000000" w:themeColor="text1"/>
          <w:spacing w:val="-2"/>
          <w:sz w:val="16"/>
          <w:szCs w:val="16"/>
        </w:rPr>
        <w:t>Produkte</w:t>
      </w:r>
      <w:r>
        <w:rPr>
          <w:rFonts w:ascii="Helvetica" w:hAnsi="Helvetica"/>
          <w:color w:val="000000" w:themeColor="text1"/>
          <w:spacing w:val="-2"/>
          <w:sz w:val="16"/>
          <w:szCs w:val="16"/>
        </w:rPr>
        <w:t xml:space="preserve"> für Netzwerksicherheit, </w:t>
      </w:r>
      <w:proofErr w:type="spellStart"/>
      <w:r>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Security sowie zur Absicherung von Identitäten mit KI- und Zero-Trust-Technologien für einen starken, skalierbaren Schutz.</w:t>
      </w:r>
    </w:p>
    <w:p w14:paraId="3D51C698" w14:textId="77777777" w:rsidR="008D1A6A" w:rsidRDefault="008D1A6A">
      <w:pPr>
        <w:tabs>
          <w:tab w:val="left" w:pos="3828"/>
        </w:tabs>
        <w:spacing w:line="288" w:lineRule="auto"/>
        <w:ind w:right="567"/>
        <w:rPr>
          <w:rFonts w:ascii="Helvetica" w:hAnsi="Helvetica"/>
          <w:color w:val="000000" w:themeColor="text1"/>
          <w:spacing w:val="-2"/>
          <w:sz w:val="16"/>
          <w:szCs w:val="16"/>
        </w:rPr>
      </w:pPr>
    </w:p>
    <w:p w14:paraId="053C7729" w14:textId="77777777" w:rsidR="008D1A6A" w:rsidRDefault="00000000">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Mehr als 17.000 Security-Reseller bzw.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und 250.000 Kunden weltweit vertrauen auf die ausgeklügelten Schutzmechanismen auf Enterprise-Niveau. Dabei hilft WatchGuard Partnern, schnell zu wachsen, operative Hindernisse zu beseitigen und starke Ergebnisse zu erzielen – alles aus einer Hand und ohne zusätzliche Konsolen oder Komplexität. Neben der Zentrale in Seattle im US-Bundesstaat Washington verfügt WatchGuard über Niederlassungen in ganz Nordamerika, Lateinamerika und Europa sowie im asiatisch-pazifischen Raum.</w:t>
      </w:r>
    </w:p>
    <w:p w14:paraId="7BB40D5F" w14:textId="77777777" w:rsidR="008D1A6A" w:rsidRDefault="008D1A6A">
      <w:pPr>
        <w:tabs>
          <w:tab w:val="left" w:pos="3828"/>
        </w:tabs>
        <w:spacing w:line="288" w:lineRule="auto"/>
        <w:ind w:right="567"/>
        <w:rPr>
          <w:rFonts w:ascii="Helvetica" w:hAnsi="Helvetica"/>
          <w:color w:val="000000" w:themeColor="text1"/>
          <w:spacing w:val="-2"/>
          <w:sz w:val="16"/>
          <w:szCs w:val="16"/>
          <w:highlight w:val="yellow"/>
        </w:rPr>
      </w:pPr>
    </w:p>
    <w:p w14:paraId="4571FF88" w14:textId="7CE5537A" w:rsidR="008D1A6A" w:rsidRDefault="00000000">
      <w:pPr>
        <w:tabs>
          <w:tab w:val="left" w:pos="3828"/>
        </w:tabs>
        <w:spacing w:line="288" w:lineRule="auto"/>
        <w:ind w:right="567"/>
        <w:rPr>
          <w:rFonts w:ascii="Helvetica" w:hAnsi="Helvetica"/>
          <w:sz w:val="16"/>
          <w:szCs w:val="16"/>
        </w:rPr>
      </w:pPr>
      <w:r>
        <w:rPr>
          <w:rFonts w:ascii="Helvetica" w:hAnsi="Helvetica"/>
          <w:color w:val="000000" w:themeColor="text1"/>
          <w:spacing w:val="-2"/>
          <w:sz w:val="16"/>
          <w:szCs w:val="16"/>
        </w:rPr>
        <w:t xml:space="preserve">Aktuelle Informationen, Aktionen und Updates finden Sie auch auf </w:t>
      </w:r>
      <w:hyperlink r:id="rId20">
        <w:r w:rsidR="008D1A6A">
          <w:rPr>
            <w:rFonts w:ascii="Helvetica" w:hAnsi="Helvetica"/>
            <w:spacing w:val="-2"/>
            <w:sz w:val="16"/>
            <w:szCs w:val="16"/>
          </w:rPr>
          <w:t>X</w:t>
        </w:r>
      </w:hyperlink>
      <w:r>
        <w:rPr>
          <w:rFonts w:ascii="Helvetica" w:hAnsi="Helvetica"/>
          <w:color w:val="000000" w:themeColor="text1"/>
          <w:spacing w:val="-2"/>
          <w:sz w:val="16"/>
          <w:szCs w:val="16"/>
        </w:rPr>
        <w:t xml:space="preserve">, </w:t>
      </w:r>
      <w:hyperlink r:id="rId21">
        <w:r w:rsidR="008D1A6A">
          <w:rPr>
            <w:rFonts w:ascii="Helvetica" w:hAnsi="Helvetica"/>
            <w:spacing w:val="-2"/>
            <w:sz w:val="16"/>
            <w:szCs w:val="16"/>
          </w:rPr>
          <w:t>Facebook</w:t>
        </w:r>
      </w:hyperlink>
      <w:r>
        <w:rPr>
          <w:rStyle w:val="Hyperlink"/>
          <w:rFonts w:ascii="Helvetica" w:hAnsi="Helvetica"/>
          <w:spacing w:val="-2"/>
          <w:sz w:val="16"/>
          <w:szCs w:val="16"/>
          <w:u w:val="none"/>
        </w:rPr>
        <w:t xml:space="preserve"> </w:t>
      </w:r>
      <w:r>
        <w:rPr>
          <w:rFonts w:ascii="Helvetica" w:hAnsi="Helvetica"/>
          <w:color w:val="000000" w:themeColor="text1"/>
          <w:spacing w:val="-2"/>
          <w:sz w:val="16"/>
          <w:szCs w:val="16"/>
        </w:rPr>
        <w:t xml:space="preserve">oder </w:t>
      </w:r>
      <w:hyperlink r:id="rId22">
        <w:r w:rsidR="008D1A6A">
          <w:rPr>
            <w:rFonts w:ascii="Helvetica" w:hAnsi="Helvetica"/>
            <w:spacing w:val="-2"/>
            <w:sz w:val="16"/>
            <w:szCs w:val="16"/>
          </w:rPr>
          <w:t>LinkedIn</w:t>
        </w:r>
      </w:hyperlink>
      <w:r>
        <w:rPr>
          <w:color w:val="000000" w:themeColor="text1"/>
        </w:rPr>
        <w:t xml:space="preserve">. </w:t>
      </w:r>
      <w:r>
        <w:rPr>
          <w:rFonts w:ascii="Helvetica" w:hAnsi="Helvetica"/>
          <w:color w:val="000000" w:themeColor="text1"/>
          <w:spacing w:val="-2"/>
          <w:sz w:val="16"/>
          <w:szCs w:val="16"/>
        </w:rPr>
        <w:t xml:space="preserve">Der deutschsprachige </w:t>
      </w:r>
      <w:hyperlink r:id="rId23">
        <w:r w:rsidR="008D1A6A">
          <w:rPr>
            <w:rFonts w:ascii="Helvetica" w:hAnsi="Helvetica"/>
            <w:spacing w:val="-2"/>
            <w:sz w:val="16"/>
            <w:szCs w:val="16"/>
          </w:rPr>
          <w:t>Unternehmensblog</w:t>
        </w:r>
      </w:hyperlink>
      <w:r>
        <w:rPr>
          <w:rFonts w:ascii="Helvetica" w:hAnsi="Helvetica"/>
          <w:color w:val="000000" w:themeColor="text1"/>
          <w:spacing w:val="-2"/>
          <w:sz w:val="16"/>
          <w:szCs w:val="16"/>
        </w:rPr>
        <w:t xml:space="preserve"> beleuchtet zudem </w:t>
      </w:r>
      <w:proofErr w:type="spellStart"/>
      <w:r>
        <w:rPr>
          <w:rFonts w:ascii="Helvetica" w:hAnsi="Helvetica"/>
          <w:color w:val="000000" w:themeColor="text1"/>
          <w:spacing w:val="-2"/>
          <w:sz w:val="16"/>
          <w:szCs w:val="16"/>
        </w:rPr>
        <w:t>regelmä</w:t>
      </w:r>
      <w:r w:rsidR="00607944">
        <w:rPr>
          <w:rFonts w:ascii="Helvetica" w:hAnsi="Helvetica"/>
          <w:color w:val="000000" w:themeColor="text1"/>
          <w:spacing w:val="-2"/>
          <w:sz w:val="16"/>
          <w:szCs w:val="16"/>
        </w:rPr>
        <w:t>ss</w:t>
      </w:r>
      <w:r>
        <w:rPr>
          <w:rFonts w:ascii="Helvetica" w:hAnsi="Helvetica"/>
          <w:color w:val="000000" w:themeColor="text1"/>
          <w:spacing w:val="-2"/>
          <w:sz w:val="16"/>
          <w:szCs w:val="16"/>
        </w:rPr>
        <w:t>ig</w:t>
      </w:r>
      <w:proofErr w:type="spellEnd"/>
      <w:r>
        <w:rPr>
          <w:rFonts w:ascii="Helvetica" w:hAnsi="Helvetica"/>
          <w:color w:val="000000" w:themeColor="text1"/>
          <w:spacing w:val="-2"/>
          <w:sz w:val="16"/>
          <w:szCs w:val="16"/>
        </w:rPr>
        <w:t xml:space="preserve"> aktuelle Trendthemen im Umfeld von IT-Sicherheit. Reinschauen lohnt sich. Oder Sie abonnieren den „443 – Security </w:t>
      </w:r>
      <w:proofErr w:type="spellStart"/>
      <w:r>
        <w:rPr>
          <w:rFonts w:ascii="Helvetica" w:hAnsi="Helvetica"/>
          <w:color w:val="000000" w:themeColor="text1"/>
          <w:spacing w:val="-2"/>
          <w:sz w:val="16"/>
          <w:szCs w:val="16"/>
        </w:rPr>
        <w:t>Simplified</w:t>
      </w:r>
      <w:proofErr w:type="spellEnd"/>
      <w:r>
        <w:rPr>
          <w:rFonts w:ascii="Helvetica" w:hAnsi="Helvetica"/>
          <w:color w:val="000000" w:themeColor="text1"/>
          <w:spacing w:val="-2"/>
          <w:sz w:val="16"/>
          <w:szCs w:val="16"/>
        </w:rPr>
        <w:t xml:space="preserve">“-Podcast über das </w:t>
      </w:r>
      <w:hyperlink r:id="rId24">
        <w:r w:rsidR="008D1A6A">
          <w:rPr>
            <w:rFonts w:ascii="Helvetica" w:hAnsi="Helvetica"/>
            <w:spacing w:val="-2"/>
            <w:sz w:val="16"/>
            <w:szCs w:val="16"/>
          </w:rPr>
          <w:t xml:space="preserve">WatchGuard </w:t>
        </w:r>
        <w:proofErr w:type="spellStart"/>
        <w:r w:rsidR="008D1A6A">
          <w:rPr>
            <w:rFonts w:ascii="Helvetica" w:hAnsi="Helvetica"/>
            <w:spacing w:val="-2"/>
            <w:sz w:val="16"/>
            <w:szCs w:val="16"/>
          </w:rPr>
          <w:t>Cybersecurity</w:t>
        </w:r>
        <w:proofErr w:type="spellEnd"/>
        <w:r w:rsidR="008D1A6A">
          <w:rPr>
            <w:rFonts w:ascii="Helvetica" w:hAnsi="Helvetica"/>
            <w:spacing w:val="-2"/>
            <w:sz w:val="16"/>
            <w:szCs w:val="16"/>
          </w:rPr>
          <w:t xml:space="preserve"> Hub</w:t>
        </w:r>
      </w:hyperlink>
      <w:r>
        <w:rPr>
          <w:rFonts w:ascii="Helvetica" w:hAnsi="Helvetica"/>
          <w:color w:val="000000" w:themeColor="text1"/>
          <w:spacing w:val="-2"/>
          <w:sz w:val="16"/>
          <w:szCs w:val="16"/>
        </w:rPr>
        <w:t xml:space="preserve"> bzw. wo immer Sie Ihre Lieblings-Podcasts finden.</w:t>
      </w:r>
    </w:p>
    <w:p w14:paraId="4164CE36" w14:textId="77777777" w:rsidR="008D1A6A" w:rsidRDefault="008D1A6A">
      <w:pPr>
        <w:tabs>
          <w:tab w:val="left" w:pos="3828"/>
        </w:tabs>
        <w:spacing w:line="288" w:lineRule="auto"/>
        <w:ind w:right="567"/>
        <w:rPr>
          <w:rFonts w:ascii="Helvetica" w:hAnsi="Helvetica"/>
          <w:sz w:val="16"/>
          <w:szCs w:val="16"/>
        </w:rPr>
      </w:pPr>
    </w:p>
    <w:sectPr w:rsidR="008D1A6A">
      <w:headerReference w:type="even" r:id="rId25"/>
      <w:headerReference w:type="default" r:id="rId26"/>
      <w:footerReference w:type="even" r:id="rId27"/>
      <w:footerReference w:type="default" r:id="rId28"/>
      <w:headerReference w:type="first" r:id="rId29"/>
      <w:footerReference w:type="first" r:id="rId30"/>
      <w:pgSz w:w="11906" w:h="16838"/>
      <w:pgMar w:top="1418" w:right="1410" w:bottom="1640"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A3F34" w14:textId="77777777" w:rsidR="00E0206A" w:rsidRDefault="00E0206A">
      <w:r>
        <w:separator/>
      </w:r>
    </w:p>
  </w:endnote>
  <w:endnote w:type="continuationSeparator" w:id="0">
    <w:p w14:paraId="104907E9" w14:textId="77777777" w:rsidR="00E0206A" w:rsidRDefault="00E02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51E5" w14:textId="77777777" w:rsidR="008D1A6A" w:rsidRDefault="00000000">
    <w:pPr>
      <w:pStyle w:val="Fuzeile"/>
      <w:ind w:right="360"/>
    </w:pPr>
    <w:r>
      <w:rPr>
        <w:noProof/>
      </w:rPr>
      <mc:AlternateContent>
        <mc:Choice Requires="wps">
          <w:drawing>
            <wp:anchor distT="0" distB="0" distL="0" distR="0" simplePos="0" relativeHeight="251659776" behindDoc="1" locked="0" layoutInCell="0" allowOverlap="1" wp14:anchorId="73335774" wp14:editId="13AEF34E">
              <wp:simplePos x="0" y="0"/>
              <wp:positionH relativeFrom="margin">
                <wp:align>right</wp:align>
              </wp:positionH>
              <wp:positionV relativeFrom="paragraph">
                <wp:posOffset>635</wp:posOffset>
              </wp:positionV>
              <wp:extent cx="14605" cy="14605"/>
              <wp:effectExtent l="0" t="0" r="0" b="0"/>
              <wp:wrapSquare wrapText="bothSides"/>
              <wp:docPr id="3" name="Rahmen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6FA5AA49" w14:textId="77777777" w:rsidR="008D1A6A" w:rsidRDefault="00000000">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rect w14:anchorId="73335774" id="Rahmen1" o:spid="_x0000_s1026" style="position:absolute;margin-left:-50.05pt;margin-top:.05pt;width:1.15pt;height:1.15pt;z-index:-2516567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" o:allowincell="f" filled="f" stroked="f" strokeweight="0">
              <v:textbox style="mso-fit-shape-to-text:t" inset="0,0,0,0">
                <w:txbxContent>
                  <w:p w14:paraId="6FA5AA49" w14:textId="77777777" w:rsidR="008D1A6A" w:rsidRDefault="00000000">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BA0C" w14:textId="77777777" w:rsidR="008D1A6A" w:rsidRDefault="00000000">
    <w:pPr>
      <w:pStyle w:val="Fuzeile"/>
      <w:ind w:right="360"/>
    </w:pPr>
    <w:r>
      <w:rPr>
        <w:noProof/>
      </w:rPr>
      <mc:AlternateContent>
        <mc:Choice Requires="wps">
          <w:drawing>
            <wp:anchor distT="0" distB="0" distL="0" distR="0" simplePos="0" relativeHeight="251657728" behindDoc="1" locked="0" layoutInCell="0" allowOverlap="1" wp14:anchorId="39B8BC0C" wp14:editId="7F12E17C">
              <wp:simplePos x="0" y="0"/>
              <wp:positionH relativeFrom="margin">
                <wp:align>right</wp:align>
              </wp:positionH>
              <wp:positionV relativeFrom="paragraph">
                <wp:posOffset>635</wp:posOffset>
              </wp:positionV>
              <wp:extent cx="71120" cy="172085"/>
              <wp:effectExtent l="0" t="0" r="0" b="0"/>
              <wp:wrapSquare wrapText="bothSides"/>
              <wp:docPr id="4" name="Rahmen2"/>
              <wp:cNvGraphicFramePr/>
              <a:graphic xmlns:a="http://schemas.openxmlformats.org/drawingml/2006/main">
                <a:graphicData uri="http://schemas.microsoft.com/office/word/2010/wordprocessingShape">
                  <wps:wsp>
                    <wps:cNvSpPr/>
                    <wps:spPr>
                      <a:xfrm>
                        <a:off x="0" y="0"/>
                        <a:ext cx="71280" cy="172080"/>
                      </a:xfrm>
                      <a:prstGeom prst="rect">
                        <a:avLst/>
                      </a:prstGeom>
                      <a:noFill/>
                      <a:ln w="0">
                        <a:noFill/>
                      </a:ln>
                    </wps:spPr>
                    <wps:style>
                      <a:lnRef idx="0">
                        <a:scrgbClr r="0" g="0" b="0"/>
                      </a:lnRef>
                      <a:fillRef idx="0">
                        <a:scrgbClr r="0" g="0" b="0"/>
                      </a:fillRef>
                      <a:effectRef idx="0">
                        <a:scrgbClr r="0" g="0" b="0"/>
                      </a:effectRef>
                      <a:fontRef idx="minor"/>
                    </wps:style>
                    <wps:txbx>
                      <w:txbxContent>
                        <w:p w14:paraId="497A69B8"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wps:txbx>
                    <wps:bodyPr lIns="0" tIns="0" rIns="0" bIns="0" anchor="t">
                      <a:spAutoFit/>
                    </wps:bodyPr>
                  </wps:wsp>
                </a:graphicData>
              </a:graphic>
            </wp:anchor>
          </w:drawing>
        </mc:Choice>
        <mc:Fallback>
          <w:pict>
            <v:rect w14:anchorId="39B8BC0C" id="Rahmen2" o:spid="_x0000_s1027" style="position:absolute;margin-left:-45.6pt;margin-top:.05pt;width:5.6pt;height:13.5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" o:allowincell="f" filled="f" stroked="f" strokeweight="0">
              <v:textbox style="mso-fit-shape-to-text:t" inset="0,0,0,0">
                <w:txbxContent>
                  <w:p w14:paraId="497A69B8"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375D" w14:textId="77777777" w:rsidR="008D1A6A" w:rsidRDefault="00000000">
    <w:pPr>
      <w:pStyle w:val="Fuzeile"/>
      <w:ind w:right="360"/>
    </w:pPr>
    <w:r>
      <w:rPr>
        <w:noProof/>
      </w:rPr>
      <mc:AlternateContent>
        <mc:Choice Requires="wps">
          <w:drawing>
            <wp:anchor distT="0" distB="0" distL="0" distR="0" simplePos="0" relativeHeight="251658752" behindDoc="1" locked="0" layoutInCell="0" allowOverlap="1" wp14:anchorId="4355D140" wp14:editId="4E495DF0">
              <wp:simplePos x="0" y="0"/>
              <wp:positionH relativeFrom="margin">
                <wp:align>right</wp:align>
              </wp:positionH>
              <wp:positionV relativeFrom="paragraph">
                <wp:posOffset>635</wp:posOffset>
              </wp:positionV>
              <wp:extent cx="71120" cy="172085"/>
              <wp:effectExtent l="0" t="0" r="0" b="0"/>
              <wp:wrapSquare wrapText="bothSides"/>
              <wp:docPr id="5" name="Rahmen2"/>
              <wp:cNvGraphicFramePr/>
              <a:graphic xmlns:a="http://schemas.openxmlformats.org/drawingml/2006/main">
                <a:graphicData uri="http://schemas.microsoft.com/office/word/2010/wordprocessingShape">
                  <wps:wsp>
                    <wps:cNvSpPr/>
                    <wps:spPr>
                      <a:xfrm>
                        <a:off x="0" y="0"/>
                        <a:ext cx="71280" cy="172080"/>
                      </a:xfrm>
                      <a:prstGeom prst="rect">
                        <a:avLst/>
                      </a:prstGeom>
                      <a:noFill/>
                      <a:ln w="0">
                        <a:noFill/>
                      </a:ln>
                    </wps:spPr>
                    <wps:style>
                      <a:lnRef idx="0">
                        <a:scrgbClr r="0" g="0" b="0"/>
                      </a:lnRef>
                      <a:fillRef idx="0">
                        <a:scrgbClr r="0" g="0" b="0"/>
                      </a:fillRef>
                      <a:effectRef idx="0">
                        <a:scrgbClr r="0" g="0" b="0"/>
                      </a:effectRef>
                      <a:fontRef idx="minor"/>
                    </wps:style>
                    <wps:txbx>
                      <w:txbxContent>
                        <w:p w14:paraId="607CD860"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wps:txbx>
                    <wps:bodyPr lIns="0" tIns="0" rIns="0" bIns="0" anchor="t">
                      <a:spAutoFit/>
                    </wps:bodyPr>
                  </wps:wsp>
                </a:graphicData>
              </a:graphic>
            </wp:anchor>
          </w:drawing>
        </mc:Choice>
        <mc:Fallback>
          <w:pict>
            <v:rect w14:anchorId="4355D140" id="_x0000_s1028" style="position:absolute;margin-left:-45.6pt;margin-top:.05pt;width:5.6pt;height:13.5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" o:allowincell="f" filled="f" stroked="f" strokeweight="0">
              <v:textbox style="mso-fit-shape-to-text:t" inset="0,0,0,0">
                <w:txbxContent>
                  <w:p w14:paraId="607CD860"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7C887" w14:textId="77777777" w:rsidR="00E0206A" w:rsidRDefault="00E0206A">
      <w:r>
        <w:separator/>
      </w:r>
    </w:p>
  </w:footnote>
  <w:footnote w:type="continuationSeparator" w:id="0">
    <w:p w14:paraId="56D3B85A" w14:textId="77777777" w:rsidR="00E0206A" w:rsidRDefault="00E02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1113" w14:textId="77777777" w:rsidR="008D1A6A" w:rsidRDefault="008D1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434C" w14:textId="77777777" w:rsidR="008D1A6A" w:rsidRDefault="00000000">
    <w:pPr>
      <w:pStyle w:val="Kopfzeile"/>
      <w:rPr>
        <w:sz w:val="32"/>
        <w:szCs w:val="32"/>
      </w:rPr>
    </w:pPr>
    <w:r>
      <w:rPr>
        <w:noProof/>
        <w:sz w:val="32"/>
        <w:szCs w:val="32"/>
      </w:rPr>
      <w:drawing>
        <wp:anchor distT="0" distB="0" distL="114300" distR="114300" simplePos="0" relativeHeight="251655680" behindDoc="0" locked="0" layoutInCell="0" allowOverlap="1" wp14:anchorId="2ADBB720" wp14:editId="4A0D16DF">
          <wp:simplePos x="0" y="0"/>
          <wp:positionH relativeFrom="column">
            <wp:posOffset>4000500</wp:posOffset>
          </wp:positionH>
          <wp:positionV relativeFrom="paragraph">
            <wp:posOffset>76200</wp:posOffset>
          </wp:positionV>
          <wp:extent cx="2286000" cy="654685"/>
          <wp:effectExtent l="0" t="0" r="0" b="0"/>
          <wp:wrapThrough wrapText="bothSides">
            <wp:wrapPolygon edited="0">
              <wp:start x="7145" y="0"/>
              <wp:lineTo x="2082" y="0"/>
              <wp:lineTo x="-325" y="4113"/>
              <wp:lineTo x="-325" y="15035"/>
              <wp:lineTo x="1347" y="20850"/>
              <wp:lineTo x="1837" y="20850"/>
              <wp:lineTo x="3511" y="20850"/>
              <wp:lineTo x="6655" y="20850"/>
              <wp:lineTo x="21354" y="15035"/>
              <wp:lineTo x="21354" y="13332"/>
              <wp:lineTo x="21600" y="5815"/>
              <wp:lineTo x="8819" y="0"/>
              <wp:lineTo x="7145"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grd_logo_clr"/>
                  <pic:cNvPicPr>
                    <a:picLocks noChangeAspect="1" noChangeArrowheads="1"/>
                  </pic:cNvPicPr>
                </pic:nvPicPr>
                <pic:blipFill>
                  <a:blip r:embed="rId1"/>
                  <a:stretch>
                    <a:fillRect/>
                  </a:stretch>
                </pic:blipFill>
                <pic:spPr bwMode="auto">
                  <a:xfrm>
                    <a:off x="0" y="0"/>
                    <a:ext cx="2286000" cy="654685"/>
                  </a:xfrm>
                  <a:prstGeom prst="rect">
                    <a:avLst/>
                  </a:prstGeom>
                  <a:noFill/>
                </pic:spPr>
              </pic:pic>
            </a:graphicData>
          </a:graphic>
        </wp:anchor>
      </w:drawing>
    </w:r>
  </w:p>
  <w:p w14:paraId="70DC6B4F" w14:textId="77777777" w:rsidR="008D1A6A" w:rsidRDefault="008D1A6A">
    <w:pPr>
      <w:pStyle w:val="Kopfzeile"/>
      <w:rPr>
        <w:sz w:val="32"/>
        <w:szCs w:val="32"/>
      </w:rPr>
    </w:pPr>
  </w:p>
  <w:p w14:paraId="530DB873" w14:textId="77777777" w:rsidR="008D1A6A" w:rsidRDefault="008D1A6A">
    <w:pPr>
      <w:pStyle w:val="Kopfzeile"/>
      <w:rPr>
        <w:sz w:val="32"/>
        <w:szCs w:val="32"/>
      </w:rPr>
    </w:pPr>
  </w:p>
  <w:p w14:paraId="5069EC44" w14:textId="77777777" w:rsidR="008D1A6A" w:rsidRDefault="008D1A6A">
    <w:pPr>
      <w:pStyle w:val="Kopfzeile"/>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19E5" w14:textId="77777777" w:rsidR="008D1A6A" w:rsidRDefault="00000000">
    <w:pPr>
      <w:pStyle w:val="Kopfzeile"/>
      <w:rPr>
        <w:sz w:val="32"/>
        <w:szCs w:val="32"/>
      </w:rPr>
    </w:pPr>
    <w:r>
      <w:rPr>
        <w:noProof/>
        <w:sz w:val="32"/>
        <w:szCs w:val="32"/>
      </w:rPr>
      <w:drawing>
        <wp:anchor distT="0" distB="0" distL="114300" distR="114300" simplePos="0" relativeHeight="251656704" behindDoc="0" locked="0" layoutInCell="0" allowOverlap="1" wp14:anchorId="12615D0B" wp14:editId="3C3B2060">
          <wp:simplePos x="0" y="0"/>
          <wp:positionH relativeFrom="column">
            <wp:posOffset>4000500</wp:posOffset>
          </wp:positionH>
          <wp:positionV relativeFrom="paragraph">
            <wp:posOffset>76200</wp:posOffset>
          </wp:positionV>
          <wp:extent cx="2286000" cy="654685"/>
          <wp:effectExtent l="0" t="0" r="0" b="0"/>
          <wp:wrapThrough wrapText="bothSides">
            <wp:wrapPolygon edited="0">
              <wp:start x="7145" y="0"/>
              <wp:lineTo x="2082" y="0"/>
              <wp:lineTo x="-325" y="4113"/>
              <wp:lineTo x="-325" y="15035"/>
              <wp:lineTo x="1347" y="20850"/>
              <wp:lineTo x="1837" y="20850"/>
              <wp:lineTo x="3511" y="20850"/>
              <wp:lineTo x="6655" y="20850"/>
              <wp:lineTo x="21354" y="15035"/>
              <wp:lineTo x="21354" y="13332"/>
              <wp:lineTo x="21600" y="5815"/>
              <wp:lineTo x="8819" y="0"/>
              <wp:lineTo x="7145"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grd_logo_clr"/>
                  <pic:cNvPicPr>
                    <a:picLocks noChangeAspect="1" noChangeArrowheads="1"/>
                  </pic:cNvPicPr>
                </pic:nvPicPr>
                <pic:blipFill>
                  <a:blip r:embed="rId1"/>
                  <a:stretch>
                    <a:fillRect/>
                  </a:stretch>
                </pic:blipFill>
                <pic:spPr bwMode="auto">
                  <a:xfrm>
                    <a:off x="0" y="0"/>
                    <a:ext cx="2286000" cy="654685"/>
                  </a:xfrm>
                  <a:prstGeom prst="rect">
                    <a:avLst/>
                  </a:prstGeom>
                  <a:noFill/>
                </pic:spPr>
              </pic:pic>
            </a:graphicData>
          </a:graphic>
        </wp:anchor>
      </w:drawing>
    </w:r>
  </w:p>
  <w:p w14:paraId="78DA44BF" w14:textId="77777777" w:rsidR="008D1A6A" w:rsidRDefault="008D1A6A">
    <w:pPr>
      <w:pStyle w:val="Kopfzeile"/>
      <w:rPr>
        <w:sz w:val="32"/>
        <w:szCs w:val="32"/>
      </w:rPr>
    </w:pPr>
  </w:p>
  <w:p w14:paraId="688C5C6E" w14:textId="77777777" w:rsidR="008D1A6A" w:rsidRDefault="008D1A6A">
    <w:pPr>
      <w:pStyle w:val="Kopfzeile"/>
      <w:rPr>
        <w:sz w:val="32"/>
        <w:szCs w:val="32"/>
      </w:rPr>
    </w:pPr>
  </w:p>
  <w:p w14:paraId="6BC2CA57" w14:textId="77777777" w:rsidR="008D1A6A" w:rsidRDefault="008D1A6A">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EE51AB"/>
    <w:multiLevelType w:val="multilevel"/>
    <w:tmpl w:val="AFD4C3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4BF1F37"/>
    <w:multiLevelType w:val="multilevel"/>
    <w:tmpl w:val="5DCA67AE"/>
    <w:lvl w:ilvl="0">
      <w:numFmt w:val="bullet"/>
      <w:lvlText w:val=""/>
      <w:lvlJc w:val="left"/>
      <w:pPr>
        <w:tabs>
          <w:tab w:val="num" w:pos="0"/>
        </w:tabs>
        <w:ind w:left="1060" w:hanging="70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7CF92311"/>
    <w:multiLevelType w:val="multilevel"/>
    <w:tmpl w:val="D382D6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407730690">
    <w:abstractNumId w:val="1"/>
  </w:num>
  <w:num w:numId="2" w16cid:durableId="1036850412">
    <w:abstractNumId w:val="2"/>
  </w:num>
  <w:num w:numId="3" w16cid:durableId="202377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09"/>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A6A"/>
    <w:rsid w:val="00035B1D"/>
    <w:rsid w:val="00184DC9"/>
    <w:rsid w:val="002047C6"/>
    <w:rsid w:val="00304B94"/>
    <w:rsid w:val="00367675"/>
    <w:rsid w:val="00395BE7"/>
    <w:rsid w:val="00433E16"/>
    <w:rsid w:val="004D39F9"/>
    <w:rsid w:val="0054062D"/>
    <w:rsid w:val="00557D97"/>
    <w:rsid w:val="005C18E7"/>
    <w:rsid w:val="00607944"/>
    <w:rsid w:val="006F0B90"/>
    <w:rsid w:val="008B5AD2"/>
    <w:rsid w:val="008D1A6A"/>
    <w:rsid w:val="008D2A3E"/>
    <w:rsid w:val="009254DA"/>
    <w:rsid w:val="00931791"/>
    <w:rsid w:val="00956541"/>
    <w:rsid w:val="009E5605"/>
    <w:rsid w:val="00A241BB"/>
    <w:rsid w:val="00A37D8E"/>
    <w:rsid w:val="00A921BB"/>
    <w:rsid w:val="00AA21D0"/>
    <w:rsid w:val="00C21843"/>
    <w:rsid w:val="00CD23A6"/>
    <w:rsid w:val="00DF0AE2"/>
    <w:rsid w:val="00DF6FC6"/>
    <w:rsid w:val="00E0206A"/>
    <w:rsid w:val="00E2420A"/>
    <w:rsid w:val="00E556B8"/>
    <w:rsid w:val="00E82557"/>
    <w:rsid w:val="00EF34E0"/>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5654F"/>
  <w15:docId w15:val="{83E39142-E169-804C-89E8-3AEBE961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qFormat/>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qFormat/>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qFormat/>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qFormat/>
    <w:rsid w:val="00C428F6"/>
    <w:rPr>
      <w:rFonts w:ascii="Cambria" w:eastAsia="MS Mincho" w:hAnsi="Cambria" w:cs="Times New Roman"/>
      <w:sz w:val="20"/>
      <w:szCs w:val="20"/>
    </w:rPr>
  </w:style>
  <w:style w:type="character" w:customStyle="1" w:styleId="KopfzeileZeichen1">
    <w:name w:val="Kopfzeile Zeichen1"/>
    <w:basedOn w:val="Absatz-Standardschriftart"/>
    <w:uiPriority w:val="99"/>
    <w:semiHidden/>
    <w:qFormat/>
    <w:rsid w:val="00C428F6"/>
    <w:rPr>
      <w:rFonts w:ascii="Cambria" w:eastAsia="MS Mincho" w:hAnsi="Cambria" w:cs="Times New Roman"/>
      <w:lang w:eastAsia="de-DE"/>
    </w:rPr>
  </w:style>
  <w:style w:type="character" w:customStyle="1" w:styleId="TextkrperZchn">
    <w:name w:val="Textkörper Zchn"/>
    <w:link w:val="Textkrper"/>
    <w:qFormat/>
    <w:rsid w:val="00C428F6"/>
    <w:rPr>
      <w:rFonts w:ascii="Helvetica" w:eastAsia="SimSun" w:hAnsi="Helvetica" w:cs="Times New Roman"/>
      <w:b/>
      <w:sz w:val="22"/>
      <w:szCs w:val="22"/>
    </w:rPr>
  </w:style>
  <w:style w:type="character" w:customStyle="1" w:styleId="TextkrperZeichen1">
    <w:name w:val="Textkörper Zeichen1"/>
    <w:basedOn w:val="Absatz-Standardschriftart"/>
    <w:uiPriority w:val="99"/>
    <w:semiHidden/>
    <w:qFormat/>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character" w:customStyle="1" w:styleId="KommentartextZchn">
    <w:name w:val="Kommentartext Zchn"/>
    <w:basedOn w:val="Absatz-Standardschriftart"/>
    <w:link w:val="Kommentartext"/>
    <w:uiPriority w:val="99"/>
    <w:semiHidden/>
    <w:qFormat/>
    <w:rsid w:val="00C428F6"/>
    <w:rPr>
      <w:rFonts w:ascii="Cambria" w:eastAsia="MS Mincho" w:hAnsi="Cambria" w:cs="Times New Roman"/>
      <w:lang w:eastAsia="de-DE"/>
    </w:rPr>
  </w:style>
  <w:style w:type="character" w:customStyle="1" w:styleId="SprechblasentextZchn">
    <w:name w:val="Sprechblasentext Zchn"/>
    <w:basedOn w:val="Absatz-Standardschriftart"/>
    <w:link w:val="Sprechblasentext"/>
    <w:uiPriority w:val="99"/>
    <w:semiHidden/>
    <w:qFormat/>
    <w:rsid w:val="00C428F6"/>
    <w:rPr>
      <w:rFonts w:ascii="Lucida Grande" w:eastAsia="MS Mincho" w:hAnsi="Lucida Grande" w:cs="Lucida Grande"/>
      <w:sz w:val="18"/>
      <w:szCs w:val="18"/>
      <w:lang w:eastAsia="de-DE"/>
    </w:rPr>
  </w:style>
  <w:style w:type="character" w:customStyle="1" w:styleId="KommentarthemaZchn">
    <w:name w:val="Kommentarthema Zchn"/>
    <w:basedOn w:val="KommentartextZchn"/>
    <w:link w:val="Kommentarthema"/>
    <w:qFormat/>
    <w:rsid w:val="00C428F6"/>
    <w:rPr>
      <w:rFonts w:ascii="Cambria" w:eastAsia="MS Mincho" w:hAnsi="Cambria" w:cs="Times New Roman"/>
      <w:b/>
      <w:bCs/>
      <w:sz w:val="20"/>
      <w:szCs w:val="20"/>
      <w:lang w:eastAsia="de-DE"/>
    </w:rPr>
  </w:style>
  <w:style w:type="character" w:customStyle="1" w:styleId="EndnotentextZchn">
    <w:name w:val="Endnotentext Zchn"/>
    <w:basedOn w:val="Absatz-Standardschriftart"/>
    <w:link w:val="Endnotentext"/>
    <w:uiPriority w:val="99"/>
    <w:qFormat/>
    <w:rsid w:val="00C428F6"/>
    <w:rPr>
      <w:rFonts w:eastAsiaTheme="minorEastAsia"/>
      <w:lang w:val="en-US"/>
    </w:rPr>
  </w:style>
  <w:style w:type="character" w:styleId="Endnotenzeichen">
    <w:name w:val="endnote reference"/>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character" w:customStyle="1" w:styleId="FuzeileZchn">
    <w:name w:val="Fußzeile Zchn"/>
    <w:basedOn w:val="Absatz-Standardschriftart"/>
    <w:link w:val="Fuzeile"/>
    <w:uiPriority w:val="99"/>
    <w:qFormat/>
    <w:rsid w:val="00C428F6"/>
    <w:rPr>
      <w:rFonts w:ascii="Cambria" w:eastAsia="MS Mincho" w:hAnsi="Cambria" w:cs="Times New Roman"/>
      <w:lang w:eastAsia="de-DE"/>
    </w:rPr>
  </w:style>
  <w:style w:type="character" w:customStyle="1" w:styleId="FunotentextZchn">
    <w:name w:val="Fußnotentext Zchn"/>
    <w:basedOn w:val="Absatz-Standardschriftart"/>
    <w:link w:val="Funotentext"/>
    <w:qFormat/>
    <w:rsid w:val="00C428F6"/>
    <w:rPr>
      <w:rFonts w:ascii="Cambria" w:eastAsia="MS Mincho" w:hAnsi="Cambria" w:cs="Times New Roman"/>
      <w:lang w:eastAsia="de-DE"/>
    </w:rPr>
  </w:style>
  <w:style w:type="character" w:styleId="Funotenzeichen">
    <w:name w:val="footnote reference"/>
    <w:rPr>
      <w:vertAlign w:val="superscript"/>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qFormat/>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qFormat/>
    <w:rsid w:val="00736069"/>
    <w:rPr>
      <w:sz w:val="18"/>
      <w:szCs w:val="18"/>
    </w:rPr>
  </w:style>
  <w:style w:type="character" w:customStyle="1" w:styleId="berschrift1Zchn">
    <w:name w:val="Überschrift 1 Zchn"/>
    <w:basedOn w:val="Absatz-Standardschriftart"/>
    <w:link w:val="berschrift1"/>
    <w:qFormat/>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qFormat/>
    <w:rsid w:val="009A7882"/>
  </w:style>
  <w:style w:type="character" w:customStyle="1" w:styleId="NichtaufgelsteErwhnung1">
    <w:name w:val="Nicht aufgelöste Erwähnung1"/>
    <w:basedOn w:val="Absatz-Standardschriftart"/>
    <w:qFormat/>
    <w:rsid w:val="00CF3503"/>
    <w:rPr>
      <w:color w:val="808080"/>
      <w:shd w:val="clear" w:color="auto" w:fill="E6E6E6"/>
    </w:rPr>
  </w:style>
  <w:style w:type="character" w:styleId="NichtaufgelsteErwhnung">
    <w:name w:val="Unresolved Mention"/>
    <w:basedOn w:val="Absatz-Standardschriftart"/>
    <w:uiPriority w:val="99"/>
    <w:semiHidden/>
    <w:unhideWhenUsed/>
    <w:qFormat/>
    <w:rsid w:val="002F643B"/>
    <w:rPr>
      <w:color w:val="605E5C"/>
      <w:shd w:val="clear" w:color="auto" w:fill="E1DFDD"/>
    </w:rPr>
  </w:style>
  <w:style w:type="character" w:customStyle="1" w:styleId="normaltextrun">
    <w:name w:val="normaltextrun"/>
    <w:basedOn w:val="Absatz-Standardschriftart"/>
    <w:qFormat/>
    <w:rsid w:val="00F76BCB"/>
  </w:style>
  <w:style w:type="character" w:customStyle="1" w:styleId="berschrift4Zchn">
    <w:name w:val="Überschrift 4 Zchn"/>
    <w:basedOn w:val="Absatz-Standardschriftart"/>
    <w:link w:val="berschrift4"/>
    <w:qFormat/>
    <w:rsid w:val="00BD2D7B"/>
    <w:rPr>
      <w:rFonts w:asciiTheme="majorHAnsi" w:eastAsiaTheme="majorEastAsia" w:hAnsiTheme="majorHAnsi" w:cstheme="majorBidi"/>
      <w:i/>
      <w:iCs/>
      <w:color w:val="365F91" w:themeColor="accent1" w:themeShade="BF"/>
      <w:lang w:eastAsia="de-DE"/>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link w:val="TextkrperZchn"/>
    <w:rsid w:val="00C428F6"/>
    <w:rPr>
      <w:rFonts w:ascii="Helvetica" w:eastAsia="SimSun" w:hAnsi="Helvetica"/>
      <w:b/>
      <w:sz w:val="22"/>
      <w:szCs w:val="22"/>
      <w:lang w:eastAsia="en-US"/>
    </w:r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paragraph" w:styleId="Kommentartext">
    <w:name w:val="annotation text"/>
    <w:basedOn w:val="Standard"/>
    <w:link w:val="KommentartextZchn"/>
    <w:uiPriority w:val="99"/>
    <w:semiHidden/>
    <w:unhideWhenUsed/>
    <w:rsid w:val="00C428F6"/>
  </w:style>
  <w:style w:type="paragraph" w:styleId="Sprechblasentext">
    <w:name w:val="Balloon Text"/>
    <w:basedOn w:val="Standard"/>
    <w:link w:val="SprechblasentextZchn"/>
    <w:uiPriority w:val="99"/>
    <w:semiHidden/>
    <w:unhideWhenUsed/>
    <w:qFormat/>
    <w:rsid w:val="00C428F6"/>
    <w:rPr>
      <w:rFonts w:ascii="Lucida Grande" w:hAnsi="Lucida Grande" w:cs="Lucida Grande"/>
      <w:sz w:val="18"/>
      <w:szCs w:val="18"/>
    </w:rPr>
  </w:style>
  <w:style w:type="paragraph" w:styleId="Kommentarthema">
    <w:name w:val="annotation subject"/>
    <w:basedOn w:val="Kommentartext"/>
    <w:next w:val="Kommentartext"/>
    <w:link w:val="KommentarthemaZchn"/>
    <w:qFormat/>
    <w:rsid w:val="00C428F6"/>
    <w:rPr>
      <w:b/>
      <w:bCs/>
      <w:sz w:val="20"/>
      <w:szCs w:val="20"/>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paragraph" w:styleId="Fuzeile">
    <w:name w:val="footer"/>
    <w:basedOn w:val="Standard"/>
    <w:link w:val="FuzeileZchn"/>
    <w:uiPriority w:val="99"/>
    <w:unhideWhenUsed/>
    <w:rsid w:val="00C428F6"/>
    <w:pPr>
      <w:tabs>
        <w:tab w:val="center" w:pos="4536"/>
        <w:tab w:val="right" w:pos="9072"/>
      </w:tabs>
    </w:pPr>
  </w:style>
  <w:style w:type="paragraph" w:styleId="Funotentext">
    <w:name w:val="footnote text"/>
    <w:basedOn w:val="Standard"/>
    <w:link w:val="FunotentextZchn"/>
    <w:rsid w:val="00C428F6"/>
  </w:style>
  <w:style w:type="paragraph" w:styleId="KeinLeerraum">
    <w:name w:val="No Spacing"/>
    <w:uiPriority w:val="1"/>
    <w:qFormat/>
    <w:rsid w:val="00C428F6"/>
    <w:rPr>
      <w:rFonts w:ascii="Calibri" w:hAnsi="Calibri" w:cs="Times New Roman"/>
      <w:sz w:val="22"/>
      <w:szCs w:val="22"/>
      <w:lang w:val="en-US"/>
    </w:rPr>
  </w:style>
  <w:style w:type="paragraph" w:styleId="berarbeitung">
    <w:name w:val="Revision"/>
    <w:semiHidden/>
    <w:qFormat/>
    <w:rsid w:val="005942C4"/>
    <w:rPr>
      <w:rFonts w:eastAsia="MS Mincho" w:cs="Times New Roman"/>
      <w:lang w:eastAsia="de-DE"/>
    </w:rPr>
  </w:style>
  <w:style w:type="paragraph" w:styleId="StandardWeb">
    <w:name w:val="Normal (Web)"/>
    <w:basedOn w:val="Standard"/>
    <w:uiPriority w:val="99"/>
    <w:semiHidden/>
    <w:unhideWhenUsed/>
    <w:qFormat/>
    <w:rsid w:val="000834F2"/>
    <w:pPr>
      <w:spacing w:beforeAutospacing="1" w:afterAutospacing="1"/>
    </w:pPr>
  </w:style>
  <w:style w:type="paragraph" w:customStyle="1" w:styleId="Rahmeninhaltuser">
    <w:name w:val="Rahmeninhalt (user)"/>
    <w:basedOn w:val="Standard"/>
    <w:qFormat/>
  </w:style>
  <w:style w:type="paragraph" w:customStyle="1" w:styleId="Rahmeninhalt">
    <w:name w:val="Rahmeninhalt"/>
    <w:basedOn w:val="Standard"/>
    <w:qFormat/>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atchguard.com/de/wgrd-resource-center/security-report-q2-2025" TargetMode="External"/><Relationship Id="rId13" Type="http://schemas.openxmlformats.org/officeDocument/2006/relationships/hyperlink" Target="https://www.watchguard.com/de/wgrd-products/zero-trust-bundle" TargetMode="External"/><Relationship Id="rId18" Type="http://schemas.openxmlformats.org/officeDocument/2006/relationships/hyperlink" Target="https://press-n-relations.com/"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e-de.facebook.com/WatchGuardSichersein/" TargetMode="External"/><Relationship Id="rId7" Type="http://schemas.openxmlformats.org/officeDocument/2006/relationships/endnotes" Target="endnotes.xml"/><Relationship Id="rId12" Type="http://schemas.openxmlformats.org/officeDocument/2006/relationships/hyperlink" Target="https://www.watchguard.com/de/wgrd-products/sase/firecloud-total-access" TargetMode="External"/><Relationship Id="rId17" Type="http://schemas.openxmlformats.org/officeDocument/2006/relationships/hyperlink" Target="mailto:rh@press-n-relations.de"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watchguard.com/de" TargetMode="External"/><Relationship Id="rId20" Type="http://schemas.openxmlformats.org/officeDocument/2006/relationships/hyperlink" Target="https://twitter.com/sichersein"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chguard.com/de/wgrd-products/watchguard-endpoint-epdr" TargetMode="External"/><Relationship Id="rId24" Type="http://schemas.openxmlformats.org/officeDocument/2006/relationships/hyperlink" Target="https://www.watchguard.com/wgrd-security-hub/podcast-the-44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h@press-n-relations.de" TargetMode="External"/><Relationship Id="rId23" Type="http://schemas.openxmlformats.org/officeDocument/2006/relationships/hyperlink" Target="https://www.watchguard.com/de/wgrd-news/blog" TargetMode="External"/><Relationship Id="rId28" Type="http://schemas.openxmlformats.org/officeDocument/2006/relationships/footer" Target="footer2.xml"/><Relationship Id="rId10" Type="http://schemas.openxmlformats.org/officeDocument/2006/relationships/hyperlink" Target="https://www.watchguard.com/de/wgrd-products/total-identity-security" TargetMode="External"/><Relationship Id="rId19" Type="http://schemas.openxmlformats.org/officeDocument/2006/relationships/hyperlink" Target="https://press-n-relations.a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atchguard.com/de/wgrd-products/sase/firecloud-total-access" TargetMode="External"/><Relationship Id="rId14" Type="http://schemas.openxmlformats.org/officeDocument/2006/relationships/image" Target="media/image1.jpeg"/><Relationship Id="rId22" Type="http://schemas.openxmlformats.org/officeDocument/2006/relationships/hyperlink" Target="https://www.linkedin.com/company/watchguard-technologies/"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6377D-415F-BC41-A028-3E22943F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1384</Words>
  <Characters>8724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dc:description>_x005f_x000d_</dc:description>
  <cp:lastModifiedBy>Rebecca Horn</cp:lastModifiedBy>
  <cp:revision>3</cp:revision>
  <cp:lastPrinted>2025-10-14T10:06:00Z</cp:lastPrinted>
  <dcterms:created xsi:type="dcterms:W3CDTF">2025-12-17T08:04:00Z</dcterms:created>
  <dcterms:modified xsi:type="dcterms:W3CDTF">2025-12-17T08:05:00Z</dcterms:modified>
  <dc:language>de-DE</dc:language>
</cp:coreProperties>
</file>